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A7B62" w14:textId="7C27B40D" w:rsidR="00A160B2" w:rsidRDefault="006F1291" w:rsidP="00A160B2">
      <w:pPr>
        <w:spacing w:after="480"/>
      </w:pPr>
      <w:r>
        <w:rPr>
          <w:noProof/>
        </w:rPr>
        <w:drawing>
          <wp:inline distT="0" distB="0" distL="0" distR="0" wp14:anchorId="1A334804" wp14:editId="3C5E8D82">
            <wp:extent cx="2443163" cy="705397"/>
            <wp:effectExtent l="0" t="0" r="0" b="0"/>
            <wp:docPr id="1" name="Picture 1" descr="London Borough of Harr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ndon Borough of Harrow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81194" cy="716378"/>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686"/>
        <w:gridCol w:w="4623"/>
      </w:tblGrid>
      <w:tr w:rsidR="00A160B2" w14:paraId="3E9231EB" w14:textId="77777777" w:rsidTr="00AA1293">
        <w:trPr>
          <w:tblHeader/>
        </w:trPr>
        <w:tc>
          <w:tcPr>
            <w:tcW w:w="3686" w:type="dxa"/>
            <w:tcBorders>
              <w:bottom w:val="single" w:sz="18" w:space="0" w:color="auto"/>
            </w:tcBorders>
          </w:tcPr>
          <w:p w14:paraId="2EDC0AA9" w14:textId="77777777" w:rsidR="00A160B2" w:rsidRPr="00B805DB" w:rsidRDefault="00A160B2" w:rsidP="006C3150">
            <w:pPr>
              <w:pStyle w:val="Heading1"/>
              <w:spacing w:after="240"/>
            </w:pPr>
            <w:r>
              <w:t>Report f</w:t>
            </w:r>
            <w:r w:rsidRPr="00C869F3">
              <w:t>or:</w:t>
            </w:r>
          </w:p>
        </w:tc>
        <w:tc>
          <w:tcPr>
            <w:tcW w:w="4623" w:type="dxa"/>
            <w:tcBorders>
              <w:bottom w:val="single" w:sz="18" w:space="0" w:color="auto"/>
            </w:tcBorders>
          </w:tcPr>
          <w:p w14:paraId="55A88F66" w14:textId="1D544984" w:rsidR="00A160B2" w:rsidRPr="00A160B2" w:rsidRDefault="00AA1293" w:rsidP="006C3150">
            <w:pPr>
              <w:pStyle w:val="Heading1"/>
              <w:rPr>
                <w:color w:val="0000FF"/>
                <w:szCs w:val="24"/>
              </w:rPr>
            </w:pPr>
            <w:r>
              <w:t>GOVERNANCE, AUDIT, RISK MANAGEMENT AND STANDARDS COMMITTEE</w:t>
            </w:r>
            <w:r w:rsidRPr="00A160B2">
              <w:rPr>
                <w:color w:val="0000FF"/>
              </w:rPr>
              <w:t xml:space="preserve"> </w:t>
            </w:r>
          </w:p>
        </w:tc>
      </w:tr>
      <w:tr w:rsidR="00A160B2" w14:paraId="5281F5A9" w14:textId="77777777" w:rsidTr="00AA1293">
        <w:tc>
          <w:tcPr>
            <w:tcW w:w="3686" w:type="dxa"/>
            <w:tcBorders>
              <w:top w:val="single" w:sz="18" w:space="0" w:color="auto"/>
            </w:tcBorders>
          </w:tcPr>
          <w:p w14:paraId="23A86F3D" w14:textId="77777777" w:rsidR="00AA1293" w:rsidRDefault="00AA1293" w:rsidP="006C3150">
            <w:pPr>
              <w:pStyle w:val="Infotext"/>
              <w:rPr>
                <w:rFonts w:ascii="Arial Black" w:hAnsi="Arial Black"/>
              </w:rPr>
            </w:pPr>
          </w:p>
          <w:p w14:paraId="0991D380" w14:textId="5B9FFC8C" w:rsidR="00A160B2" w:rsidRPr="00F92398" w:rsidRDefault="00A160B2" w:rsidP="006C3150">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3A6B81C9" w14:textId="77777777" w:rsidR="00A160B2" w:rsidRPr="00F92398" w:rsidRDefault="00A160B2" w:rsidP="006C3150">
            <w:pPr>
              <w:pStyle w:val="Infotext"/>
              <w:rPr>
                <w:rFonts w:ascii="Arial Black" w:hAnsi="Arial Black" w:cs="Arial"/>
              </w:rPr>
            </w:pPr>
          </w:p>
        </w:tc>
        <w:tc>
          <w:tcPr>
            <w:tcW w:w="4623" w:type="dxa"/>
            <w:tcBorders>
              <w:top w:val="single" w:sz="18" w:space="0" w:color="auto"/>
            </w:tcBorders>
          </w:tcPr>
          <w:p w14:paraId="5A55DF34" w14:textId="77777777" w:rsidR="00AA1293" w:rsidRDefault="00AA1293" w:rsidP="006C3150">
            <w:pPr>
              <w:pStyle w:val="Infotext"/>
              <w:rPr>
                <w:rFonts w:cs="Arial"/>
              </w:rPr>
            </w:pPr>
          </w:p>
          <w:p w14:paraId="495EBCE8" w14:textId="4F4D0CC4" w:rsidR="00A160B2" w:rsidRPr="00AA1293" w:rsidRDefault="005D4656" w:rsidP="006C3150">
            <w:pPr>
              <w:pStyle w:val="Infotext"/>
              <w:rPr>
                <w:rFonts w:cs="Arial"/>
                <w:sz w:val="24"/>
                <w:szCs w:val="24"/>
              </w:rPr>
            </w:pPr>
            <w:r>
              <w:rPr>
                <w:rFonts w:cs="Arial"/>
                <w:sz w:val="24"/>
                <w:szCs w:val="24"/>
              </w:rPr>
              <w:t>19 March</w:t>
            </w:r>
            <w:r w:rsidR="00AA1293" w:rsidRPr="00AA1293">
              <w:rPr>
                <w:rFonts w:cs="Arial"/>
                <w:sz w:val="24"/>
                <w:szCs w:val="24"/>
              </w:rPr>
              <w:t xml:space="preserve"> 2024</w:t>
            </w:r>
          </w:p>
        </w:tc>
      </w:tr>
      <w:tr w:rsidR="00AA1293" w14:paraId="79B879D4" w14:textId="77777777" w:rsidTr="00AA1293">
        <w:tc>
          <w:tcPr>
            <w:tcW w:w="3686" w:type="dxa"/>
          </w:tcPr>
          <w:p w14:paraId="5EBA2504" w14:textId="77777777" w:rsidR="00AA1293" w:rsidRPr="00F92398" w:rsidRDefault="00AA1293" w:rsidP="00AA1293">
            <w:pPr>
              <w:pStyle w:val="Infotext"/>
              <w:rPr>
                <w:rFonts w:ascii="Arial Black" w:hAnsi="Arial Black" w:cs="Arial"/>
              </w:rPr>
            </w:pPr>
            <w:r w:rsidRPr="00F92398">
              <w:rPr>
                <w:rFonts w:ascii="Arial Black" w:hAnsi="Arial Black" w:cs="Arial"/>
              </w:rPr>
              <w:t>Subject:</w:t>
            </w:r>
          </w:p>
          <w:p w14:paraId="262AF561" w14:textId="77777777" w:rsidR="00AA1293" w:rsidRPr="00F92398" w:rsidRDefault="00AA1293" w:rsidP="00AA1293">
            <w:pPr>
              <w:pStyle w:val="Infotext"/>
              <w:rPr>
                <w:rFonts w:ascii="Arial Black" w:hAnsi="Arial Black"/>
              </w:rPr>
            </w:pPr>
          </w:p>
        </w:tc>
        <w:tc>
          <w:tcPr>
            <w:tcW w:w="4623" w:type="dxa"/>
          </w:tcPr>
          <w:p w14:paraId="5914456E" w14:textId="3F5CAF88" w:rsidR="00AA1293" w:rsidRPr="00AA1293" w:rsidRDefault="00AA1293" w:rsidP="00AA1293">
            <w:pPr>
              <w:pStyle w:val="Infotext"/>
              <w:rPr>
                <w:rFonts w:cs="Arial"/>
                <w:sz w:val="24"/>
                <w:szCs w:val="24"/>
              </w:rPr>
            </w:pPr>
            <w:r w:rsidRPr="00AA1293">
              <w:rPr>
                <w:rFonts w:cs="Arial"/>
                <w:sz w:val="24"/>
                <w:szCs w:val="24"/>
              </w:rPr>
              <w:t>Corporate Anti-Fraud and Corruption Strategy 2022-26</w:t>
            </w:r>
          </w:p>
        </w:tc>
      </w:tr>
      <w:tr w:rsidR="00AA1293" w14:paraId="3A5E0F07" w14:textId="77777777" w:rsidTr="00AA1293">
        <w:tc>
          <w:tcPr>
            <w:tcW w:w="3686" w:type="dxa"/>
          </w:tcPr>
          <w:p w14:paraId="3526B74C" w14:textId="77777777" w:rsidR="00AA1293" w:rsidRPr="00F92398" w:rsidRDefault="00AA1293" w:rsidP="00AA1293">
            <w:pPr>
              <w:pStyle w:val="Infotext"/>
              <w:rPr>
                <w:rFonts w:ascii="Arial Black" w:hAnsi="Arial Black" w:cs="Arial"/>
              </w:rPr>
            </w:pPr>
            <w:r w:rsidRPr="00F92398">
              <w:rPr>
                <w:rFonts w:ascii="Arial Black" w:hAnsi="Arial Black" w:cs="Arial"/>
              </w:rPr>
              <w:t>Responsible Officer:</w:t>
            </w:r>
          </w:p>
          <w:p w14:paraId="2952AD10" w14:textId="77777777" w:rsidR="00AA1293" w:rsidRPr="00F92398" w:rsidRDefault="00AA1293" w:rsidP="00AA1293">
            <w:pPr>
              <w:pStyle w:val="Infotext"/>
              <w:rPr>
                <w:rFonts w:ascii="Arial Black" w:hAnsi="Arial Black" w:cs="Arial"/>
              </w:rPr>
            </w:pPr>
          </w:p>
        </w:tc>
        <w:tc>
          <w:tcPr>
            <w:tcW w:w="4623" w:type="dxa"/>
          </w:tcPr>
          <w:p w14:paraId="449F8287" w14:textId="77777777" w:rsidR="00AA1293" w:rsidRPr="005E3A10" w:rsidRDefault="00AA1293" w:rsidP="00AA1293">
            <w:pPr>
              <w:pStyle w:val="Infotext"/>
              <w:rPr>
                <w:rFonts w:cs="Arial"/>
                <w:sz w:val="24"/>
                <w:szCs w:val="24"/>
              </w:rPr>
            </w:pPr>
            <w:r>
              <w:rPr>
                <w:rFonts w:cs="Arial"/>
                <w:sz w:val="24"/>
                <w:szCs w:val="24"/>
              </w:rPr>
              <w:t>Sharon Daniels, Interim Director of Finance and Assurance</w:t>
            </w:r>
          </w:p>
          <w:p w14:paraId="3CF266C9" w14:textId="77777777" w:rsidR="00AA1293" w:rsidRDefault="00AA1293" w:rsidP="00AA1293">
            <w:pPr>
              <w:pStyle w:val="Infotext"/>
              <w:rPr>
                <w:rFonts w:cs="Arial"/>
              </w:rPr>
            </w:pPr>
          </w:p>
        </w:tc>
      </w:tr>
      <w:tr w:rsidR="00AA1293" w14:paraId="7AFCAE74" w14:textId="77777777" w:rsidTr="00AA1293">
        <w:tc>
          <w:tcPr>
            <w:tcW w:w="3686" w:type="dxa"/>
          </w:tcPr>
          <w:p w14:paraId="4573497F" w14:textId="77777777" w:rsidR="00AA1293" w:rsidRPr="00F92398" w:rsidRDefault="00AA1293" w:rsidP="00AA1293">
            <w:pPr>
              <w:pStyle w:val="Infotext"/>
              <w:rPr>
                <w:rFonts w:ascii="Arial Black" w:hAnsi="Arial Black" w:cs="Arial"/>
              </w:rPr>
            </w:pPr>
            <w:r w:rsidRPr="00F92398">
              <w:rPr>
                <w:rFonts w:ascii="Arial Black" w:hAnsi="Arial Black" w:cs="Arial"/>
              </w:rPr>
              <w:t>Exempt:</w:t>
            </w:r>
          </w:p>
          <w:p w14:paraId="72D771B0" w14:textId="77777777" w:rsidR="00AA1293" w:rsidRPr="00F92398" w:rsidRDefault="00AA1293" w:rsidP="00AA1293">
            <w:pPr>
              <w:pStyle w:val="Infotext"/>
              <w:rPr>
                <w:rFonts w:ascii="Arial Black" w:hAnsi="Arial Black" w:cs="Arial"/>
              </w:rPr>
            </w:pPr>
          </w:p>
        </w:tc>
        <w:tc>
          <w:tcPr>
            <w:tcW w:w="4623" w:type="dxa"/>
          </w:tcPr>
          <w:p w14:paraId="4E3163FF" w14:textId="1633FFFF" w:rsidR="00AA1293" w:rsidRPr="00AA1293" w:rsidRDefault="00AA1293" w:rsidP="00AA1293">
            <w:pPr>
              <w:pStyle w:val="Infotext"/>
              <w:rPr>
                <w:rFonts w:cs="Arial"/>
                <w:sz w:val="24"/>
                <w:szCs w:val="24"/>
              </w:rPr>
            </w:pPr>
            <w:r w:rsidRPr="00AA1293">
              <w:rPr>
                <w:rFonts w:cs="Arial"/>
                <w:sz w:val="24"/>
                <w:szCs w:val="24"/>
              </w:rPr>
              <w:t>No</w:t>
            </w:r>
          </w:p>
          <w:p w14:paraId="4C873B59" w14:textId="77777777" w:rsidR="00AA1293" w:rsidRDefault="00AA1293" w:rsidP="00AA1293">
            <w:pPr>
              <w:pStyle w:val="Infotext"/>
              <w:rPr>
                <w:rFonts w:cs="Arial"/>
              </w:rPr>
            </w:pPr>
          </w:p>
        </w:tc>
      </w:tr>
      <w:tr w:rsidR="00AA1293" w14:paraId="521D9222" w14:textId="77777777" w:rsidTr="00AA1293">
        <w:tc>
          <w:tcPr>
            <w:tcW w:w="3686" w:type="dxa"/>
          </w:tcPr>
          <w:p w14:paraId="4ABD9246" w14:textId="77777777" w:rsidR="00AA1293" w:rsidRDefault="00AA1293" w:rsidP="00AA1293">
            <w:pPr>
              <w:pStyle w:val="Infotext"/>
              <w:rPr>
                <w:rFonts w:ascii="Arial Black" w:hAnsi="Arial Black" w:cs="Arial"/>
              </w:rPr>
            </w:pPr>
            <w:r>
              <w:rPr>
                <w:rFonts w:ascii="Arial Black" w:hAnsi="Arial Black" w:cs="Arial"/>
              </w:rPr>
              <w:t>Wards affected:</w:t>
            </w:r>
          </w:p>
          <w:p w14:paraId="65A16444" w14:textId="77777777" w:rsidR="00AA1293" w:rsidRPr="00F92398" w:rsidRDefault="00AA1293" w:rsidP="00AA1293">
            <w:pPr>
              <w:pStyle w:val="Infotext"/>
              <w:rPr>
                <w:rFonts w:ascii="Arial Black" w:hAnsi="Arial Black" w:cs="Arial"/>
              </w:rPr>
            </w:pPr>
          </w:p>
        </w:tc>
        <w:tc>
          <w:tcPr>
            <w:tcW w:w="4623" w:type="dxa"/>
          </w:tcPr>
          <w:p w14:paraId="7B906090" w14:textId="77777777" w:rsidR="00AA1293" w:rsidRPr="00AA1293" w:rsidRDefault="00AA1293" w:rsidP="00AA1293">
            <w:pPr>
              <w:pStyle w:val="Infotext"/>
              <w:rPr>
                <w:rFonts w:cs="Arial"/>
                <w:sz w:val="24"/>
                <w:szCs w:val="24"/>
              </w:rPr>
            </w:pPr>
            <w:r w:rsidRPr="00AA1293">
              <w:rPr>
                <w:rFonts w:cs="Arial"/>
                <w:sz w:val="24"/>
                <w:szCs w:val="24"/>
              </w:rPr>
              <w:t>List Ward(s) affected by decision.</w:t>
            </w:r>
          </w:p>
          <w:p w14:paraId="6CD568AC" w14:textId="53957D26" w:rsidR="00AA1293" w:rsidRPr="00AA1293" w:rsidRDefault="00AA1293" w:rsidP="00AA1293">
            <w:pPr>
              <w:pStyle w:val="Infotext"/>
              <w:rPr>
                <w:bCs/>
              </w:rPr>
            </w:pPr>
            <w:r w:rsidRPr="00AA1293">
              <w:rPr>
                <w:rFonts w:cs="Arial"/>
                <w:bCs/>
                <w:sz w:val="24"/>
                <w:szCs w:val="24"/>
              </w:rPr>
              <w:t>All</w:t>
            </w:r>
          </w:p>
        </w:tc>
      </w:tr>
      <w:tr w:rsidR="00AA1293" w14:paraId="7C35C184" w14:textId="77777777" w:rsidTr="00AA1293">
        <w:tc>
          <w:tcPr>
            <w:tcW w:w="3686" w:type="dxa"/>
          </w:tcPr>
          <w:p w14:paraId="537C01BC" w14:textId="77777777" w:rsidR="00AA1293" w:rsidRPr="00F92398" w:rsidRDefault="00AA1293" w:rsidP="00AA1293">
            <w:pPr>
              <w:pStyle w:val="Infotext"/>
              <w:rPr>
                <w:rFonts w:ascii="Arial Black" w:hAnsi="Arial Black" w:cs="Arial"/>
              </w:rPr>
            </w:pPr>
          </w:p>
          <w:p w14:paraId="575B6BE7" w14:textId="77777777" w:rsidR="00AA1293" w:rsidRPr="00F92398" w:rsidRDefault="00AA1293" w:rsidP="00AA1293">
            <w:pPr>
              <w:pStyle w:val="Infotext"/>
              <w:rPr>
                <w:rFonts w:ascii="Arial Black" w:hAnsi="Arial Black" w:cs="Arial"/>
              </w:rPr>
            </w:pPr>
            <w:r w:rsidRPr="00F92398">
              <w:rPr>
                <w:rFonts w:ascii="Arial Black" w:hAnsi="Arial Black" w:cs="Arial"/>
              </w:rPr>
              <w:t>Enclosures:</w:t>
            </w:r>
          </w:p>
          <w:p w14:paraId="69475841" w14:textId="77777777" w:rsidR="00AA1293" w:rsidRPr="00F92398" w:rsidRDefault="00AA1293" w:rsidP="00AA1293">
            <w:pPr>
              <w:pStyle w:val="Infotext"/>
              <w:rPr>
                <w:rFonts w:ascii="Arial Black" w:hAnsi="Arial Black" w:cs="Arial"/>
              </w:rPr>
            </w:pPr>
          </w:p>
        </w:tc>
        <w:tc>
          <w:tcPr>
            <w:tcW w:w="4623" w:type="dxa"/>
          </w:tcPr>
          <w:p w14:paraId="71119F8F" w14:textId="77777777" w:rsidR="00AA1293" w:rsidRDefault="00AA1293" w:rsidP="00AA1293">
            <w:pPr>
              <w:pStyle w:val="Infotext"/>
            </w:pPr>
          </w:p>
          <w:p w14:paraId="4C232B02" w14:textId="09040CBA" w:rsidR="00AA1293" w:rsidRDefault="00AA1293" w:rsidP="00AA1293">
            <w:pPr>
              <w:pStyle w:val="Infotext"/>
            </w:pPr>
            <w:r>
              <w:rPr>
                <w:rFonts w:cs="Arial"/>
                <w:sz w:val="24"/>
                <w:szCs w:val="24"/>
              </w:rPr>
              <w:t xml:space="preserve">Appendix 1 </w:t>
            </w:r>
            <w:r w:rsidR="006A1C64">
              <w:rPr>
                <w:rFonts w:cs="Arial"/>
                <w:sz w:val="24"/>
                <w:szCs w:val="24"/>
              </w:rPr>
              <w:t>–</w:t>
            </w:r>
            <w:r>
              <w:rPr>
                <w:rFonts w:cs="Arial"/>
                <w:sz w:val="24"/>
                <w:szCs w:val="24"/>
              </w:rPr>
              <w:t xml:space="preserve"> </w:t>
            </w:r>
            <w:r w:rsidRPr="00F15526">
              <w:rPr>
                <w:rFonts w:cs="Arial"/>
                <w:sz w:val="24"/>
                <w:szCs w:val="24"/>
              </w:rPr>
              <w:t xml:space="preserve">Corporate Anti-Fraud and Corruption Strategy 2022-26  </w:t>
            </w:r>
          </w:p>
        </w:tc>
      </w:tr>
    </w:tbl>
    <w:p w14:paraId="18A939CB" w14:textId="7259CE31" w:rsidR="007855AE" w:rsidRDefault="007855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A160B2" w14:paraId="332F8595" w14:textId="77777777" w:rsidTr="007855AE">
        <w:trPr>
          <w:tblHeader/>
        </w:trPr>
        <w:tc>
          <w:tcPr>
            <w:tcW w:w="8309" w:type="dxa"/>
            <w:tcBorders>
              <w:top w:val="nil"/>
              <w:left w:val="nil"/>
              <w:bottom w:val="single" w:sz="4" w:space="0" w:color="auto"/>
              <w:right w:val="nil"/>
            </w:tcBorders>
          </w:tcPr>
          <w:p w14:paraId="47AF8288" w14:textId="77777777" w:rsidR="00A160B2" w:rsidRDefault="00A160B2" w:rsidP="00912904">
            <w:pPr>
              <w:pStyle w:val="Heading2"/>
              <w:spacing w:before="240" w:after="240"/>
            </w:pPr>
            <w:r>
              <w:t>Section 1 – Summary and Recommendations</w:t>
            </w:r>
          </w:p>
        </w:tc>
      </w:tr>
      <w:tr w:rsidR="00A160B2" w14:paraId="281F4D12" w14:textId="77777777" w:rsidTr="007855AE">
        <w:trPr>
          <w:tblHeader/>
        </w:trPr>
        <w:tc>
          <w:tcPr>
            <w:tcW w:w="8309" w:type="dxa"/>
            <w:tcBorders>
              <w:left w:val="nil"/>
              <w:bottom w:val="nil"/>
              <w:right w:val="nil"/>
            </w:tcBorders>
          </w:tcPr>
          <w:p w14:paraId="4869485F" w14:textId="41F7476E" w:rsidR="00AA1293" w:rsidRPr="00902455" w:rsidRDefault="00AA1293" w:rsidP="00AA1293">
            <w:r w:rsidRPr="00902455">
              <w:t xml:space="preserve">This report sets out the </w:t>
            </w:r>
            <w:r>
              <w:t xml:space="preserve">process </w:t>
            </w:r>
            <w:r w:rsidR="00C35C31">
              <w:t xml:space="preserve">and </w:t>
            </w:r>
            <w:r w:rsidRPr="00902455">
              <w:t xml:space="preserve">refresh of the Council’s Corporate Anti-Fraud and Corruption Strategy </w:t>
            </w:r>
            <w:r w:rsidR="00C35C31">
              <w:t>2022-26</w:t>
            </w:r>
          </w:p>
          <w:p w14:paraId="2C9E4A81" w14:textId="77777777" w:rsidR="00A160B2" w:rsidRDefault="00A160B2" w:rsidP="00A160B2">
            <w:pPr>
              <w:rPr>
                <w:rFonts w:ascii="Arial Bold" w:hAnsi="Arial Bold"/>
                <w:b/>
                <w:sz w:val="28"/>
              </w:rPr>
            </w:pPr>
          </w:p>
          <w:p w14:paraId="4F9D0A08" w14:textId="01A46F3B" w:rsidR="00A160B2" w:rsidRDefault="00A160B2" w:rsidP="00A160B2">
            <w:pPr>
              <w:rPr>
                <w:rFonts w:ascii="Arial Bold" w:hAnsi="Arial Bold"/>
                <w:b/>
                <w:sz w:val="28"/>
              </w:rPr>
            </w:pPr>
            <w:r w:rsidRPr="00A160B2">
              <w:rPr>
                <w:rFonts w:ascii="Arial Bold" w:hAnsi="Arial Bold"/>
                <w:b/>
                <w:sz w:val="28"/>
              </w:rPr>
              <w:t xml:space="preserve">Recommendations: </w:t>
            </w:r>
          </w:p>
          <w:p w14:paraId="10727666" w14:textId="31B8A5B5" w:rsidR="00253C68" w:rsidRDefault="00253C68" w:rsidP="00A160B2">
            <w:pPr>
              <w:rPr>
                <w:rFonts w:cs="Arial"/>
                <w:bCs/>
                <w:szCs w:val="24"/>
              </w:rPr>
            </w:pPr>
            <w:r w:rsidRPr="00253C68">
              <w:rPr>
                <w:rFonts w:cs="Arial"/>
                <w:bCs/>
                <w:szCs w:val="24"/>
              </w:rPr>
              <w:t xml:space="preserve">The </w:t>
            </w:r>
            <w:r>
              <w:rPr>
                <w:rFonts w:cs="Arial"/>
                <w:bCs/>
                <w:szCs w:val="24"/>
              </w:rPr>
              <w:t>GARMS Committee is requested to:</w:t>
            </w:r>
          </w:p>
          <w:p w14:paraId="13B9D4B8" w14:textId="5B2240A7" w:rsidR="00253C68" w:rsidRDefault="00253C68" w:rsidP="00A160B2">
            <w:pPr>
              <w:rPr>
                <w:rFonts w:cs="Arial"/>
                <w:bCs/>
                <w:szCs w:val="24"/>
              </w:rPr>
            </w:pPr>
          </w:p>
          <w:p w14:paraId="4C172E25" w14:textId="66A508C3" w:rsidR="00253C68" w:rsidRDefault="00253C68" w:rsidP="00253C68">
            <w:pPr>
              <w:pStyle w:val="ListParagraph"/>
              <w:numPr>
                <w:ilvl w:val="0"/>
                <w:numId w:val="17"/>
              </w:numPr>
              <w:rPr>
                <w:bCs/>
                <w:szCs w:val="24"/>
              </w:rPr>
            </w:pPr>
            <w:r>
              <w:rPr>
                <w:bCs/>
                <w:szCs w:val="24"/>
              </w:rPr>
              <w:t xml:space="preserve">Review the </w:t>
            </w:r>
            <w:r w:rsidRPr="00253C68">
              <w:rPr>
                <w:bCs/>
                <w:szCs w:val="24"/>
              </w:rPr>
              <w:t>Corporate Anti-Fraud and Corruption Strategy 2022-26</w:t>
            </w:r>
            <w:r>
              <w:rPr>
                <w:bCs/>
                <w:szCs w:val="24"/>
              </w:rPr>
              <w:t xml:space="preserve"> and provide any comments on the draft strategy.</w:t>
            </w:r>
          </w:p>
          <w:p w14:paraId="65128155" w14:textId="3F99B8ED" w:rsidR="00253C68" w:rsidRPr="00253C68" w:rsidRDefault="00253C68" w:rsidP="00253C68">
            <w:pPr>
              <w:pStyle w:val="ListParagraph"/>
              <w:numPr>
                <w:ilvl w:val="0"/>
                <w:numId w:val="17"/>
              </w:numPr>
              <w:rPr>
                <w:bCs/>
                <w:szCs w:val="24"/>
              </w:rPr>
            </w:pPr>
            <w:r>
              <w:rPr>
                <w:bCs/>
                <w:szCs w:val="24"/>
              </w:rPr>
              <w:t xml:space="preserve">Refer the </w:t>
            </w:r>
            <w:r w:rsidRPr="00253C68">
              <w:rPr>
                <w:bCs/>
                <w:szCs w:val="24"/>
              </w:rPr>
              <w:t>Corporate Anti-Fraud and Corruption Strategy 2022-26</w:t>
            </w:r>
            <w:r>
              <w:rPr>
                <w:bCs/>
                <w:szCs w:val="24"/>
              </w:rPr>
              <w:t xml:space="preserve"> to Full Council for approval.</w:t>
            </w:r>
          </w:p>
          <w:p w14:paraId="62759915" w14:textId="4B56C52F" w:rsidR="00253C68" w:rsidRPr="00A160B2" w:rsidRDefault="00253C68" w:rsidP="00A160B2">
            <w:pPr>
              <w:rPr>
                <w:rFonts w:ascii="Arial Bold" w:hAnsi="Arial Bold"/>
                <w:b/>
                <w:sz w:val="28"/>
              </w:rPr>
            </w:pPr>
          </w:p>
          <w:p w14:paraId="714CBDEE" w14:textId="1F6A6DEA" w:rsidR="00A160B2" w:rsidRDefault="00A160B2" w:rsidP="00C35C31">
            <w:r>
              <w:t xml:space="preserve"> </w:t>
            </w:r>
          </w:p>
        </w:tc>
      </w:tr>
    </w:tbl>
    <w:p w14:paraId="72F18E15" w14:textId="77777777" w:rsidR="005431C2" w:rsidRDefault="005431C2" w:rsidP="00A160B2">
      <w:pPr>
        <w:pStyle w:val="Heading2"/>
      </w:pPr>
    </w:p>
    <w:p w14:paraId="53DC7DE2" w14:textId="4F57B618" w:rsidR="002A2389" w:rsidRDefault="002A2389" w:rsidP="00A160B2">
      <w:pPr>
        <w:pStyle w:val="Heading2"/>
      </w:pPr>
      <w:r>
        <w:t>Section 2 – Report</w:t>
      </w:r>
    </w:p>
    <w:p w14:paraId="51659E56" w14:textId="77777777" w:rsidR="00C35C31" w:rsidRDefault="00C35C31" w:rsidP="00C35C31"/>
    <w:p w14:paraId="7F2B1AD3" w14:textId="04158EA9" w:rsidR="00C35C31" w:rsidRDefault="00C35C31" w:rsidP="00C35C31">
      <w:pPr>
        <w:rPr>
          <w:b/>
          <w:bCs/>
          <w:sz w:val="28"/>
          <w:szCs w:val="28"/>
        </w:rPr>
      </w:pPr>
      <w:r w:rsidRPr="00C35C31">
        <w:rPr>
          <w:b/>
          <w:bCs/>
          <w:sz w:val="28"/>
          <w:szCs w:val="28"/>
        </w:rPr>
        <w:t xml:space="preserve">Background </w:t>
      </w:r>
    </w:p>
    <w:p w14:paraId="4A0EA723" w14:textId="77777777" w:rsidR="00524649" w:rsidRDefault="00524649" w:rsidP="00C35C31">
      <w:pPr>
        <w:rPr>
          <w:b/>
          <w:bCs/>
          <w:sz w:val="28"/>
          <w:szCs w:val="28"/>
        </w:rPr>
      </w:pPr>
    </w:p>
    <w:p w14:paraId="38F61AC7" w14:textId="3F725FD7" w:rsidR="00BE5E56" w:rsidRDefault="00BE5E56" w:rsidP="00C35C31">
      <w:r>
        <w:t>2.1</w:t>
      </w:r>
      <w:r>
        <w:tab/>
        <w:t xml:space="preserve">Fraud and corruption risks pose a real threat to the Council not delivering its Corporate Objectives. </w:t>
      </w:r>
      <w:r w:rsidR="00732E46">
        <w:t xml:space="preserve"> </w:t>
      </w:r>
      <w:r>
        <w:t>Fraud not only removes resources from critical services but can cause untold social harms to individuals and communities and create poor morale amongst employees</w:t>
      </w:r>
      <w:r w:rsidR="00732E46">
        <w:t>.</w:t>
      </w:r>
    </w:p>
    <w:p w14:paraId="794EAB5C" w14:textId="5A10F210" w:rsidR="00BE5E56" w:rsidRDefault="00BE5E56" w:rsidP="00C35C31"/>
    <w:p w14:paraId="104F1C89" w14:textId="026BFEAB" w:rsidR="00732E46" w:rsidRPr="00524649" w:rsidRDefault="00BE5E56" w:rsidP="00C35C31">
      <w:r>
        <w:t>2.2</w:t>
      </w:r>
      <w:r>
        <w:tab/>
        <w:t xml:space="preserve">At a time when fraud and corruption </w:t>
      </w:r>
      <w:proofErr w:type="gramStart"/>
      <w:r>
        <w:t>represents</w:t>
      </w:r>
      <w:proofErr w:type="gramEnd"/>
      <w:r>
        <w:t xml:space="preserve"> more than 40%</w:t>
      </w:r>
      <w:r w:rsidR="00524649">
        <w:rPr>
          <w:rStyle w:val="FootnoteReference"/>
        </w:rPr>
        <w:footnoteReference w:id="1"/>
      </w:r>
      <w:r>
        <w:t xml:space="preserve"> of all crime against individuals in England and Wales, it is </w:t>
      </w:r>
      <w:r w:rsidR="00524649">
        <w:t>vital</w:t>
      </w:r>
      <w:r>
        <w:t xml:space="preserve"> that the Council has a </w:t>
      </w:r>
      <w:r w:rsidR="00732E46">
        <w:t>framework</w:t>
      </w:r>
      <w:r>
        <w:t xml:space="preserve"> in place to deal with fraud risks</w:t>
      </w:r>
      <w:r w:rsidR="00524649">
        <w:t xml:space="preserve"> and then any subsequent fraud incidents and related losses</w:t>
      </w:r>
      <w:r>
        <w:t>.</w:t>
      </w:r>
      <w:r w:rsidR="00524649">
        <w:t xml:space="preserve">  </w:t>
      </w:r>
      <w:r w:rsidR="00732E46">
        <w:t>Having a robust corporate anti-fraud and corruption strategy in place can help mitigate fraud and corruption risks to prevent and disrupt criminals from committing fraud and enable the Council to react robustly and swiftly when fraud is identified.</w:t>
      </w:r>
    </w:p>
    <w:p w14:paraId="1BEEF969" w14:textId="77777777" w:rsidR="00BE5E56" w:rsidRPr="00C35C31" w:rsidRDefault="00BE5E56" w:rsidP="00C35C31">
      <w:pPr>
        <w:rPr>
          <w:b/>
          <w:bCs/>
          <w:sz w:val="28"/>
          <w:szCs w:val="28"/>
        </w:rPr>
      </w:pPr>
    </w:p>
    <w:p w14:paraId="06EBBC8A" w14:textId="0AF3867D" w:rsidR="00732E46" w:rsidRDefault="00F23852" w:rsidP="00C35C31">
      <w:r>
        <w:t>2</w:t>
      </w:r>
      <w:r w:rsidR="00732E46">
        <w:t>.</w:t>
      </w:r>
      <w:r w:rsidR="00403D16">
        <w:t>3</w:t>
      </w:r>
      <w:r w:rsidR="00732E46">
        <w:tab/>
      </w:r>
      <w:r w:rsidR="00C35C31">
        <w:t xml:space="preserve">The Corporate Anti-Fraud and Anti-Corruption Strategy is </w:t>
      </w:r>
      <w:r w:rsidR="00C856AE">
        <w:t xml:space="preserve">a </w:t>
      </w:r>
      <w:r w:rsidR="00C35C31">
        <w:t xml:space="preserve">key strategy </w:t>
      </w:r>
      <w:r>
        <w:t xml:space="preserve">document that forms part of the Council’s constitution.  The strategy has not had a significant refresh for </w:t>
      </w:r>
      <w:proofErr w:type="gramStart"/>
      <w:r>
        <w:t>a number of</w:t>
      </w:r>
      <w:proofErr w:type="gramEnd"/>
      <w:r>
        <w:t xml:space="preserve"> years.</w:t>
      </w:r>
      <w:r w:rsidR="00BE5E56">
        <w:t xml:space="preserve"> </w:t>
      </w:r>
      <w:r w:rsidR="00732E46">
        <w:t xml:space="preserve"> </w:t>
      </w:r>
      <w:r>
        <w:t>Th</w:t>
      </w:r>
      <w:r w:rsidR="00732E46">
        <w:t>is</w:t>
      </w:r>
      <w:r>
        <w:t xml:space="preserve"> draft strategy came before the Committee in November 2022 for consideration as part of a wider cross Council consultation.</w:t>
      </w:r>
    </w:p>
    <w:p w14:paraId="26B2952D" w14:textId="77777777" w:rsidR="00732E46" w:rsidRDefault="00732E46" w:rsidP="00C35C31"/>
    <w:p w14:paraId="640FF626" w14:textId="0690CE65" w:rsidR="00F23852" w:rsidRDefault="00732E46" w:rsidP="00C35C31">
      <w:r>
        <w:t>2.</w:t>
      </w:r>
      <w:r w:rsidR="00403D16">
        <w:t>4</w:t>
      </w:r>
      <w:r>
        <w:tab/>
      </w:r>
      <w:r w:rsidR="00524649">
        <w:t>Consultation has taken place with each Directorate Departmental Management Team</w:t>
      </w:r>
      <w:r w:rsidR="00C856AE">
        <w:t>s</w:t>
      </w:r>
      <w:r w:rsidR="00524649">
        <w:t xml:space="preserve"> (DMTs), in addition to </w:t>
      </w:r>
      <w:r w:rsidR="003503F6">
        <w:t xml:space="preserve">the </w:t>
      </w:r>
      <w:r w:rsidR="00524649">
        <w:t xml:space="preserve">interim </w:t>
      </w:r>
      <w:r w:rsidR="00282E16">
        <w:t xml:space="preserve">Director of </w:t>
      </w:r>
      <w:r w:rsidR="00524649">
        <w:t>Legal and Governance and their team</w:t>
      </w:r>
      <w:r w:rsidR="00B5659F">
        <w:t>.</w:t>
      </w:r>
      <w:r w:rsidR="00282E16">
        <w:t xml:space="preserve"> </w:t>
      </w:r>
      <w:r w:rsidR="003503F6">
        <w:t xml:space="preserve"> </w:t>
      </w:r>
      <w:r w:rsidR="00524649">
        <w:t xml:space="preserve"> </w:t>
      </w:r>
      <w:r>
        <w:t xml:space="preserve">   </w:t>
      </w:r>
      <w:r w:rsidR="00F23852">
        <w:t xml:space="preserve"> </w:t>
      </w:r>
    </w:p>
    <w:p w14:paraId="1986E415" w14:textId="77777777" w:rsidR="00F23852" w:rsidRDefault="00F23852" w:rsidP="00C35C31"/>
    <w:p w14:paraId="3A747475" w14:textId="482A8F1B" w:rsidR="00BE5E56" w:rsidRDefault="00F23852" w:rsidP="00C35C31">
      <w:r>
        <w:t>2.</w:t>
      </w:r>
      <w:r w:rsidR="00403D16">
        <w:t>5</w:t>
      </w:r>
      <w:r w:rsidR="003503F6">
        <w:tab/>
      </w:r>
      <w:r w:rsidR="00C856AE">
        <w:t xml:space="preserve">The Strategy </w:t>
      </w:r>
      <w:r w:rsidR="00C35C31">
        <w:t xml:space="preserve">has been refreshed to </w:t>
      </w:r>
      <w:r w:rsidR="00524649">
        <w:t>reflect</w:t>
      </w:r>
      <w:r w:rsidR="00C35C31">
        <w:t xml:space="preserve"> changes </w:t>
      </w:r>
      <w:r w:rsidR="00BE5E56">
        <w:t xml:space="preserve">made </w:t>
      </w:r>
      <w:r w:rsidR="00C35C31">
        <w:t xml:space="preserve">to the Local Government </w:t>
      </w:r>
      <w:r w:rsidR="00524649">
        <w:t>Strateg</w:t>
      </w:r>
      <w:r w:rsidR="00C35C31">
        <w:t>y for fraud</w:t>
      </w:r>
      <w:r w:rsidR="00BE5E56">
        <w:t>; Fighting Fraud and Corruption Locally</w:t>
      </w:r>
      <w:r w:rsidR="00524649">
        <w:t xml:space="preserve"> 2020s</w:t>
      </w:r>
      <w:r w:rsidR="005431C2">
        <w:t xml:space="preserve"> Strategy </w:t>
      </w:r>
      <w:r w:rsidR="00524649">
        <w:rPr>
          <w:rStyle w:val="FootnoteReference"/>
        </w:rPr>
        <w:footnoteReference w:id="2"/>
      </w:r>
      <w:r w:rsidR="00BE5E56">
        <w:t xml:space="preserve"> </w:t>
      </w:r>
      <w:r w:rsidR="003503F6">
        <w:t>and to account for changes in the fraud risk landscape since the last major refresh that took place in 2019.</w:t>
      </w:r>
    </w:p>
    <w:p w14:paraId="61E83978" w14:textId="77777777" w:rsidR="00BE5E56" w:rsidRDefault="00BE5E56" w:rsidP="00C35C31"/>
    <w:p w14:paraId="4F9DD2FD" w14:textId="23C0E40A" w:rsidR="00C35C31" w:rsidRDefault="00BE5E56" w:rsidP="00C35C31">
      <w:r>
        <w:t>2.</w:t>
      </w:r>
      <w:r w:rsidR="00403D16">
        <w:t>6</w:t>
      </w:r>
      <w:r w:rsidR="00403D16">
        <w:tab/>
      </w:r>
      <w:r w:rsidR="00C35C31">
        <w:t xml:space="preserve">It is vital that the authority’s approach to countering fraud and corruption remains agile and </w:t>
      </w:r>
      <w:proofErr w:type="gramStart"/>
      <w:r w:rsidR="00C35C31">
        <w:t>is able to</w:t>
      </w:r>
      <w:proofErr w:type="gramEnd"/>
      <w:r w:rsidR="00C35C31">
        <w:t xml:space="preserve"> adapt </w:t>
      </w:r>
      <w:r>
        <w:t>when fraud</w:t>
      </w:r>
      <w:r w:rsidR="00C35C31">
        <w:t xml:space="preserve"> risks change.  Ensuring that the authority has a robust anti-fraud framework</w:t>
      </w:r>
      <w:r>
        <w:t xml:space="preserve"> and response</w:t>
      </w:r>
      <w:r w:rsidR="00C35C31">
        <w:t xml:space="preserve"> is critical to ensuring it protects </w:t>
      </w:r>
      <w:r>
        <w:t xml:space="preserve">its </w:t>
      </w:r>
      <w:r w:rsidR="00C35C31">
        <w:t>finance</w:t>
      </w:r>
      <w:r>
        <w:t>s</w:t>
      </w:r>
      <w:r w:rsidR="00C35C31">
        <w:t xml:space="preserve"> and resources so that </w:t>
      </w:r>
      <w:r>
        <w:t>it</w:t>
      </w:r>
      <w:r w:rsidR="00C35C31">
        <w:t xml:space="preserve"> can deliver on its vision and corporate priorities</w:t>
      </w:r>
      <w:r w:rsidR="00403D16">
        <w:t>.</w:t>
      </w:r>
      <w:r w:rsidR="00C35C31">
        <w:t xml:space="preserve">      </w:t>
      </w:r>
    </w:p>
    <w:p w14:paraId="68BA9861" w14:textId="77777777" w:rsidR="00FB3BDF" w:rsidRDefault="00FB3BDF" w:rsidP="00C35C31"/>
    <w:p w14:paraId="17C11EC6" w14:textId="3679AE29" w:rsidR="00FB3BDF" w:rsidRDefault="00FB3BDF" w:rsidP="00C35C31">
      <w:r>
        <w:t>2.7</w:t>
      </w:r>
      <w:r>
        <w:tab/>
      </w:r>
      <w:r w:rsidR="001E6598">
        <w:t>Under the Council’s constitution</w:t>
      </w:r>
      <w:r w:rsidR="006E754F">
        <w:t>, one of this committee’s responsibilities is ‘</w:t>
      </w:r>
      <w:r w:rsidR="001E6598">
        <w:t>To monitor the counter-fraud strategy, actions and resources and the Council’s approach to tackling fraud and corruption and promote an anti-fraud culture.</w:t>
      </w:r>
      <w:r w:rsidR="006E754F">
        <w:t>’ The Strategy is part of the constitution</w:t>
      </w:r>
      <w:r w:rsidR="00880386">
        <w:t xml:space="preserve"> and so will require approval by full Council. </w:t>
      </w:r>
    </w:p>
    <w:p w14:paraId="3469E0D9" w14:textId="706289D7" w:rsidR="00213BE7" w:rsidRDefault="00213BE7" w:rsidP="00213BE7">
      <w:pPr>
        <w:pStyle w:val="Heading2"/>
      </w:pPr>
      <w:r>
        <w:lastRenderedPageBreak/>
        <w:t>Legal Implications</w:t>
      </w:r>
    </w:p>
    <w:p w14:paraId="0F4EE0F3" w14:textId="6018926F" w:rsidR="00F013D9" w:rsidRDefault="00F013D9" w:rsidP="00F013D9"/>
    <w:p w14:paraId="29B68318" w14:textId="7C17E58E" w:rsidR="00F013D9" w:rsidRPr="00AE62C5" w:rsidRDefault="00F013D9" w:rsidP="00F013D9">
      <w:pPr>
        <w:rPr>
          <w:rFonts w:cs="Arial"/>
        </w:rPr>
      </w:pPr>
      <w:r w:rsidRPr="00AE62C5">
        <w:rPr>
          <w:rFonts w:cs="Arial"/>
        </w:rPr>
        <w:t xml:space="preserve">Section 151 of the Local Government Act 1972 sets out that the authority should </w:t>
      </w:r>
      <w:proofErr w:type="gramStart"/>
      <w:r w:rsidRPr="00AE62C5">
        <w:rPr>
          <w:rFonts w:cs="Arial"/>
        </w:rPr>
        <w:t>make arrangements</w:t>
      </w:r>
      <w:proofErr w:type="gramEnd"/>
      <w:r w:rsidRPr="00AE62C5">
        <w:rPr>
          <w:rFonts w:cs="Arial"/>
        </w:rPr>
        <w:t xml:space="preserve"> for the proper administration of their financial affairs and shall secure that one of their officers has responsibility for the administration of those affairs.  This includes ensuring that the authority has arrangements in place to prevent, detect and manage risks relating to fraud</w:t>
      </w:r>
      <w:r w:rsidR="001242D7">
        <w:rPr>
          <w:rFonts w:cs="Arial"/>
        </w:rPr>
        <w:t xml:space="preserve"> and corruption</w:t>
      </w:r>
      <w:r w:rsidRPr="00AE62C5">
        <w:rPr>
          <w:rFonts w:cs="Arial"/>
        </w:rPr>
        <w:t xml:space="preserve">, </w:t>
      </w:r>
      <w:proofErr w:type="gramStart"/>
      <w:r w:rsidRPr="00AE62C5">
        <w:rPr>
          <w:rFonts w:cs="Arial"/>
        </w:rPr>
        <w:t>bribery</w:t>
      </w:r>
      <w:proofErr w:type="gramEnd"/>
      <w:r w:rsidR="001242D7">
        <w:rPr>
          <w:rFonts w:cs="Arial"/>
        </w:rPr>
        <w:t xml:space="preserve"> and</w:t>
      </w:r>
      <w:r w:rsidRPr="00AE62C5">
        <w:rPr>
          <w:rFonts w:cs="Arial"/>
        </w:rPr>
        <w:t xml:space="preserve"> money laundering.  </w:t>
      </w:r>
    </w:p>
    <w:p w14:paraId="41BB405D" w14:textId="1F668C81" w:rsidR="002A2389" w:rsidRDefault="002A2389" w:rsidP="003D2FFE">
      <w:pPr>
        <w:pStyle w:val="Heading2"/>
        <w:spacing w:after="240"/>
      </w:pPr>
      <w:r>
        <w:t>Financial Implications</w:t>
      </w:r>
    </w:p>
    <w:p w14:paraId="50A6928B" w14:textId="3377D1DC" w:rsidR="00BD0F87" w:rsidRPr="002D50E5" w:rsidRDefault="00BD0F87" w:rsidP="00BD0F87">
      <w:pPr>
        <w:ind w:right="-55"/>
        <w:jc w:val="both"/>
        <w:rPr>
          <w:sz w:val="22"/>
          <w:szCs w:val="22"/>
        </w:rPr>
      </w:pPr>
      <w:r w:rsidRPr="002D50E5">
        <w:rPr>
          <w:sz w:val="22"/>
          <w:szCs w:val="22"/>
        </w:rPr>
        <w:t xml:space="preserve">There are no financial implications to this report, the Internal Audit and </w:t>
      </w:r>
      <w:bookmarkStart w:id="0" w:name="_Int_jcfcWYY3"/>
      <w:r w:rsidRPr="002D50E5">
        <w:rPr>
          <w:sz w:val="22"/>
          <w:szCs w:val="22"/>
        </w:rPr>
        <w:t>Anti</w:t>
      </w:r>
      <w:r>
        <w:rPr>
          <w:sz w:val="22"/>
          <w:szCs w:val="22"/>
        </w:rPr>
        <w:t>-</w:t>
      </w:r>
      <w:r w:rsidRPr="002D50E5">
        <w:rPr>
          <w:sz w:val="22"/>
          <w:szCs w:val="22"/>
        </w:rPr>
        <w:t>Fraud</w:t>
      </w:r>
      <w:bookmarkEnd w:id="0"/>
      <w:r w:rsidRPr="002D50E5">
        <w:rPr>
          <w:sz w:val="22"/>
          <w:szCs w:val="22"/>
        </w:rPr>
        <w:t xml:space="preserve"> Service is being delivered within budget for 2023/24.</w:t>
      </w:r>
    </w:p>
    <w:p w14:paraId="5ACE80EE" w14:textId="77777777" w:rsidR="00C32DAE" w:rsidRPr="003D2FFE" w:rsidRDefault="00C32DAE" w:rsidP="003D2FFE">
      <w:pPr>
        <w:pStyle w:val="Heading2"/>
        <w:spacing w:after="240"/>
      </w:pPr>
      <w:r>
        <w:t>Risk Management Implications</w:t>
      </w:r>
    </w:p>
    <w:p w14:paraId="0866EC0D" w14:textId="5E85ABEA" w:rsidR="004A4A1D" w:rsidRPr="00105B8A" w:rsidRDefault="004A4A1D" w:rsidP="004A4A1D">
      <w:pPr>
        <w:tabs>
          <w:tab w:val="left" w:pos="5610"/>
        </w:tabs>
        <w:ind w:right="81"/>
        <w:rPr>
          <w:color w:val="0000FF"/>
        </w:rPr>
      </w:pPr>
      <w:r>
        <w:rPr>
          <w:rFonts w:cs="Arial"/>
          <w:szCs w:val="24"/>
          <w:lang w:val="en-US"/>
        </w:rPr>
        <w:t xml:space="preserve">Risks included on corporate or directorate risk </w:t>
      </w:r>
      <w:proofErr w:type="gramStart"/>
      <w:r>
        <w:rPr>
          <w:rFonts w:cs="Arial"/>
          <w:szCs w:val="24"/>
          <w:lang w:val="en-US"/>
        </w:rPr>
        <w:t>register?</w:t>
      </w:r>
      <w:proofErr w:type="gramEnd"/>
      <w:r>
        <w:rPr>
          <w:rFonts w:cs="Arial"/>
          <w:szCs w:val="24"/>
          <w:lang w:val="en-US"/>
        </w:rPr>
        <w:t xml:space="preserve"> </w:t>
      </w:r>
      <w:r w:rsidR="006F13FE">
        <w:rPr>
          <w:rFonts w:cs="Arial"/>
          <w:b/>
          <w:bCs/>
          <w:szCs w:val="24"/>
          <w:lang w:val="en-US"/>
        </w:rPr>
        <w:t>No</w:t>
      </w:r>
    </w:p>
    <w:p w14:paraId="6F7A7108" w14:textId="77777777" w:rsidR="004A4A1D" w:rsidRDefault="004A4A1D" w:rsidP="004A4A1D">
      <w:pPr>
        <w:ind w:left="-142" w:right="141"/>
        <w:rPr>
          <w:rFonts w:cs="Arial"/>
          <w:szCs w:val="24"/>
          <w:lang w:val="en-US" w:eastAsia="en-GB"/>
        </w:rPr>
      </w:pPr>
      <w:r>
        <w:rPr>
          <w:rFonts w:cs="Arial"/>
          <w:szCs w:val="24"/>
          <w:lang w:val="en-US" w:eastAsia="en-GB"/>
        </w:rPr>
        <w:t xml:space="preserve">  </w:t>
      </w:r>
    </w:p>
    <w:p w14:paraId="474F3698" w14:textId="444A269E" w:rsidR="004A4A1D" w:rsidRDefault="004A4A1D" w:rsidP="004A4A1D">
      <w:pPr>
        <w:ind w:left="-142" w:right="141" w:firstLine="142"/>
        <w:rPr>
          <w:rFonts w:cs="Arial"/>
          <w:color w:val="4F81BD" w:themeColor="accent1"/>
          <w:szCs w:val="24"/>
          <w:lang w:val="en-US" w:eastAsia="en-GB"/>
        </w:rPr>
      </w:pPr>
      <w:r>
        <w:rPr>
          <w:rFonts w:cs="Arial"/>
          <w:szCs w:val="24"/>
          <w:lang w:val="en-US" w:eastAsia="en-GB"/>
        </w:rPr>
        <w:t xml:space="preserve">Separate risk register in place? </w:t>
      </w:r>
      <w:r w:rsidR="006F13FE">
        <w:rPr>
          <w:rFonts w:cs="Arial"/>
          <w:b/>
          <w:bCs/>
          <w:szCs w:val="24"/>
          <w:lang w:val="en-US" w:eastAsia="en-GB"/>
        </w:rPr>
        <w:t>No</w:t>
      </w:r>
    </w:p>
    <w:p w14:paraId="44EE3445" w14:textId="77777777" w:rsidR="004A4A1D" w:rsidRDefault="004A4A1D" w:rsidP="004A4A1D">
      <w:pPr>
        <w:tabs>
          <w:tab w:val="left" w:pos="5610"/>
        </w:tabs>
        <w:ind w:left="567" w:right="81" w:hanging="567"/>
      </w:pPr>
    </w:p>
    <w:p w14:paraId="015806C0" w14:textId="24356786" w:rsidR="004A4A1D" w:rsidRDefault="004A4A1D" w:rsidP="004A4A1D">
      <w:pPr>
        <w:tabs>
          <w:tab w:val="left" w:pos="5610"/>
        </w:tabs>
        <w:ind w:right="81"/>
      </w:pPr>
      <w:r>
        <w:t xml:space="preserve">The relevant risks contained in the register are attached/summarised below. </w:t>
      </w:r>
      <w:r w:rsidR="006F13FE">
        <w:rPr>
          <w:rFonts w:cs="Arial"/>
          <w:b/>
          <w:bCs/>
          <w:szCs w:val="24"/>
          <w:lang w:val="en-US" w:eastAsia="en-GB"/>
        </w:rPr>
        <w:t>N/A</w:t>
      </w:r>
    </w:p>
    <w:p w14:paraId="44D33D1F" w14:textId="30FE091A" w:rsidR="00FD31A0" w:rsidRDefault="00FD31A0" w:rsidP="003D2FFE">
      <w:pPr>
        <w:pStyle w:val="Heading2"/>
        <w:keepNext/>
        <w:spacing w:after="240"/>
      </w:pPr>
      <w:r w:rsidRPr="004A2543">
        <w:t>Equalities implications</w:t>
      </w:r>
      <w:r w:rsidR="00213BE7">
        <w:t xml:space="preserve"> / Public Sector Equality Duty </w:t>
      </w:r>
    </w:p>
    <w:p w14:paraId="1CAFFB38" w14:textId="34D3377D" w:rsidR="006F13FE" w:rsidRPr="006F13FE" w:rsidRDefault="006F13FE" w:rsidP="006F13FE">
      <w:r>
        <w:t>Not applicable</w:t>
      </w:r>
    </w:p>
    <w:p w14:paraId="666B7771" w14:textId="77777777" w:rsidR="00CC02E2" w:rsidRPr="00EC6FE9" w:rsidRDefault="00CC02E2" w:rsidP="00CC02E2">
      <w:pPr>
        <w:pStyle w:val="Heading4"/>
        <w:spacing w:before="480"/>
      </w:pPr>
      <w:r w:rsidRPr="00EC6FE9">
        <w:t>Council Priorities</w:t>
      </w:r>
    </w:p>
    <w:p w14:paraId="5A81EDA0" w14:textId="77777777" w:rsidR="00E03A7E" w:rsidRPr="005E69F1" w:rsidRDefault="00E03A7E" w:rsidP="00E03A7E">
      <w:pPr>
        <w:numPr>
          <w:ilvl w:val="0"/>
          <w:numId w:val="16"/>
        </w:numPr>
        <w:rPr>
          <w:rFonts w:eastAsia="Calibri" w:cs="Arial"/>
          <w:b/>
          <w:bCs/>
          <w:color w:val="000000"/>
          <w:szCs w:val="22"/>
        </w:rPr>
      </w:pPr>
      <w:r w:rsidRPr="005E69F1">
        <w:rPr>
          <w:rFonts w:eastAsia="Calibri" w:cs="Arial"/>
          <w:b/>
          <w:bCs/>
          <w:color w:val="000000"/>
          <w:szCs w:val="22"/>
          <w:lang w:eastAsia="en-GB"/>
        </w:rPr>
        <w:t xml:space="preserve">A </w:t>
      </w:r>
      <w:r>
        <w:rPr>
          <w:rFonts w:eastAsia="Calibri" w:cs="Arial"/>
          <w:b/>
          <w:bCs/>
          <w:color w:val="000000"/>
          <w:szCs w:val="22"/>
          <w:lang w:eastAsia="en-GB"/>
        </w:rPr>
        <w:t>C</w:t>
      </w:r>
      <w:r w:rsidRPr="005E69F1">
        <w:rPr>
          <w:rFonts w:eastAsia="Calibri" w:cs="Arial"/>
          <w:b/>
          <w:bCs/>
          <w:color w:val="000000"/>
          <w:szCs w:val="22"/>
          <w:lang w:eastAsia="en-GB"/>
        </w:rPr>
        <w:t xml:space="preserve">ouncil </w:t>
      </w:r>
      <w:r>
        <w:rPr>
          <w:rFonts w:eastAsia="Calibri" w:cs="Arial"/>
          <w:b/>
          <w:bCs/>
          <w:color w:val="000000"/>
          <w:szCs w:val="22"/>
          <w:lang w:eastAsia="en-GB"/>
        </w:rPr>
        <w:t>T</w:t>
      </w:r>
      <w:r w:rsidRPr="005E69F1">
        <w:rPr>
          <w:rFonts w:eastAsia="Calibri" w:cs="Arial"/>
          <w:b/>
          <w:bCs/>
          <w:color w:val="000000"/>
          <w:szCs w:val="22"/>
          <w:lang w:eastAsia="en-GB"/>
        </w:rPr>
        <w:t xml:space="preserve">hat </w:t>
      </w:r>
      <w:r>
        <w:rPr>
          <w:rFonts w:eastAsia="Calibri" w:cs="Arial"/>
          <w:b/>
          <w:bCs/>
          <w:color w:val="000000"/>
          <w:szCs w:val="22"/>
          <w:lang w:eastAsia="en-GB"/>
        </w:rPr>
        <w:t>P</w:t>
      </w:r>
      <w:r w:rsidRPr="005E69F1">
        <w:rPr>
          <w:rFonts w:eastAsia="Calibri" w:cs="Arial"/>
          <w:b/>
          <w:bCs/>
          <w:color w:val="000000"/>
          <w:szCs w:val="22"/>
          <w:lang w:eastAsia="en-GB"/>
        </w:rPr>
        <w:t xml:space="preserve">uts </w:t>
      </w:r>
      <w:r>
        <w:rPr>
          <w:rFonts w:eastAsia="Calibri" w:cs="Arial"/>
          <w:b/>
          <w:bCs/>
          <w:color w:val="000000"/>
          <w:szCs w:val="22"/>
          <w:lang w:eastAsia="en-GB"/>
        </w:rPr>
        <w:t>R</w:t>
      </w:r>
      <w:r w:rsidRPr="005E69F1">
        <w:rPr>
          <w:rFonts w:eastAsia="Calibri" w:cs="Arial"/>
          <w:b/>
          <w:bCs/>
          <w:color w:val="000000"/>
          <w:szCs w:val="22"/>
          <w:lang w:eastAsia="en-GB"/>
        </w:rPr>
        <w:t xml:space="preserve">esidents </w:t>
      </w:r>
      <w:r>
        <w:rPr>
          <w:rFonts w:eastAsia="Calibri" w:cs="Arial"/>
          <w:b/>
          <w:bCs/>
          <w:color w:val="000000"/>
          <w:szCs w:val="22"/>
          <w:lang w:eastAsia="en-GB"/>
        </w:rPr>
        <w:t>F</w:t>
      </w:r>
      <w:r w:rsidRPr="005E69F1">
        <w:rPr>
          <w:rFonts w:eastAsia="Calibri" w:cs="Arial"/>
          <w:b/>
          <w:bCs/>
          <w:color w:val="000000"/>
          <w:szCs w:val="22"/>
          <w:lang w:eastAsia="en-GB"/>
        </w:rPr>
        <w:t>irst</w:t>
      </w:r>
    </w:p>
    <w:p w14:paraId="4585E95E" w14:textId="77777777" w:rsidR="00E03A7E" w:rsidRPr="005E69F1" w:rsidRDefault="00E03A7E" w:rsidP="00E03A7E">
      <w:pPr>
        <w:numPr>
          <w:ilvl w:val="0"/>
          <w:numId w:val="16"/>
        </w:numPr>
        <w:rPr>
          <w:rFonts w:eastAsia="Calibri" w:cs="Arial"/>
          <w:b/>
          <w:bCs/>
          <w:color w:val="000000"/>
          <w:szCs w:val="22"/>
          <w:lang w:eastAsia="en-GB"/>
        </w:rPr>
      </w:pPr>
      <w:r w:rsidRPr="005E69F1">
        <w:rPr>
          <w:rFonts w:eastAsia="Calibri" w:cs="Arial"/>
          <w:b/>
          <w:bCs/>
          <w:color w:val="000000"/>
          <w:szCs w:val="22"/>
          <w:lang w:eastAsia="en-GB"/>
        </w:rPr>
        <w:t xml:space="preserve">A </w:t>
      </w:r>
      <w:r>
        <w:rPr>
          <w:rFonts w:eastAsia="Calibri" w:cs="Arial"/>
          <w:b/>
          <w:bCs/>
          <w:color w:val="000000"/>
          <w:szCs w:val="22"/>
          <w:lang w:eastAsia="en-GB"/>
        </w:rPr>
        <w:t>B</w:t>
      </w:r>
      <w:r w:rsidRPr="005E69F1">
        <w:rPr>
          <w:rFonts w:eastAsia="Calibri" w:cs="Arial"/>
          <w:b/>
          <w:bCs/>
          <w:color w:val="000000"/>
          <w:szCs w:val="22"/>
          <w:lang w:eastAsia="en-GB"/>
        </w:rPr>
        <w:t xml:space="preserve">orough </w:t>
      </w:r>
      <w:r>
        <w:rPr>
          <w:rFonts w:eastAsia="Calibri" w:cs="Arial"/>
          <w:b/>
          <w:bCs/>
          <w:color w:val="000000"/>
          <w:szCs w:val="22"/>
          <w:lang w:eastAsia="en-GB"/>
        </w:rPr>
        <w:t>T</w:t>
      </w:r>
      <w:r w:rsidRPr="005E69F1">
        <w:rPr>
          <w:rFonts w:eastAsia="Calibri" w:cs="Arial"/>
          <w:b/>
          <w:bCs/>
          <w:color w:val="000000"/>
          <w:szCs w:val="22"/>
          <w:lang w:eastAsia="en-GB"/>
        </w:rPr>
        <w:t xml:space="preserve">hat </w:t>
      </w:r>
      <w:r>
        <w:rPr>
          <w:rFonts w:eastAsia="Calibri" w:cs="Arial"/>
          <w:b/>
          <w:bCs/>
          <w:color w:val="000000"/>
          <w:szCs w:val="22"/>
          <w:lang w:eastAsia="en-GB"/>
        </w:rPr>
        <w:t>I</w:t>
      </w:r>
      <w:r w:rsidRPr="005E69F1">
        <w:rPr>
          <w:rFonts w:eastAsia="Calibri" w:cs="Arial"/>
          <w:b/>
          <w:bCs/>
          <w:color w:val="000000"/>
          <w:szCs w:val="22"/>
          <w:lang w:eastAsia="en-GB"/>
        </w:rPr>
        <w:t xml:space="preserve">s </w:t>
      </w:r>
      <w:r>
        <w:rPr>
          <w:rFonts w:eastAsia="Calibri" w:cs="Arial"/>
          <w:b/>
          <w:bCs/>
          <w:color w:val="000000"/>
          <w:szCs w:val="22"/>
          <w:lang w:eastAsia="en-GB"/>
        </w:rPr>
        <w:t>C</w:t>
      </w:r>
      <w:r w:rsidRPr="005E69F1">
        <w:rPr>
          <w:rFonts w:eastAsia="Calibri" w:cs="Arial"/>
          <w:b/>
          <w:bCs/>
          <w:color w:val="000000"/>
          <w:szCs w:val="22"/>
          <w:lang w:eastAsia="en-GB"/>
        </w:rPr>
        <w:t xml:space="preserve">lean and </w:t>
      </w:r>
      <w:r>
        <w:rPr>
          <w:rFonts w:eastAsia="Calibri" w:cs="Arial"/>
          <w:b/>
          <w:bCs/>
          <w:color w:val="000000"/>
          <w:szCs w:val="22"/>
          <w:lang w:eastAsia="en-GB"/>
        </w:rPr>
        <w:t>S</w:t>
      </w:r>
      <w:r w:rsidRPr="005E69F1">
        <w:rPr>
          <w:rFonts w:eastAsia="Calibri" w:cs="Arial"/>
          <w:b/>
          <w:bCs/>
          <w:color w:val="000000"/>
          <w:szCs w:val="22"/>
          <w:lang w:eastAsia="en-GB"/>
        </w:rPr>
        <w:t>afe</w:t>
      </w:r>
    </w:p>
    <w:p w14:paraId="3D56979C" w14:textId="77777777" w:rsidR="00E03A7E" w:rsidRPr="005E69F1" w:rsidRDefault="00E03A7E" w:rsidP="00E03A7E">
      <w:pPr>
        <w:numPr>
          <w:ilvl w:val="0"/>
          <w:numId w:val="16"/>
        </w:numPr>
        <w:rPr>
          <w:rFonts w:eastAsia="Calibri" w:cs="Arial"/>
          <w:b/>
          <w:bCs/>
          <w:color w:val="000000"/>
          <w:szCs w:val="22"/>
          <w:lang w:eastAsia="en-GB"/>
        </w:rPr>
      </w:pPr>
      <w:r w:rsidRPr="005E69F1">
        <w:rPr>
          <w:rFonts w:eastAsia="Calibri" w:cs="Arial"/>
          <w:b/>
          <w:bCs/>
          <w:color w:val="000000"/>
          <w:szCs w:val="22"/>
          <w:lang w:eastAsia="en-GB"/>
        </w:rPr>
        <w:t xml:space="preserve">A </w:t>
      </w:r>
      <w:r>
        <w:rPr>
          <w:rFonts w:eastAsia="Calibri" w:cs="Arial"/>
          <w:b/>
          <w:bCs/>
          <w:color w:val="000000"/>
          <w:szCs w:val="22"/>
          <w:lang w:eastAsia="en-GB"/>
        </w:rPr>
        <w:t>P</w:t>
      </w:r>
      <w:r w:rsidRPr="005E69F1">
        <w:rPr>
          <w:rFonts w:eastAsia="Calibri" w:cs="Arial"/>
          <w:b/>
          <w:bCs/>
          <w:color w:val="000000"/>
          <w:szCs w:val="22"/>
          <w:lang w:eastAsia="en-GB"/>
        </w:rPr>
        <w:t xml:space="preserve">lace </w:t>
      </w:r>
      <w:r>
        <w:rPr>
          <w:rFonts w:eastAsia="Calibri" w:cs="Arial"/>
          <w:b/>
          <w:bCs/>
          <w:color w:val="000000"/>
          <w:szCs w:val="22"/>
          <w:lang w:eastAsia="en-GB"/>
        </w:rPr>
        <w:t>W</w:t>
      </w:r>
      <w:r w:rsidRPr="005E69F1">
        <w:rPr>
          <w:rFonts w:eastAsia="Calibri" w:cs="Arial"/>
          <w:b/>
          <w:bCs/>
          <w:color w:val="000000"/>
          <w:szCs w:val="22"/>
          <w:lang w:eastAsia="en-GB"/>
        </w:rPr>
        <w:t xml:space="preserve">here </w:t>
      </w:r>
      <w:r>
        <w:rPr>
          <w:rFonts w:eastAsia="Calibri" w:cs="Arial"/>
          <w:b/>
          <w:bCs/>
          <w:color w:val="000000"/>
          <w:szCs w:val="22"/>
          <w:lang w:eastAsia="en-GB"/>
        </w:rPr>
        <w:t>T</w:t>
      </w:r>
      <w:r w:rsidRPr="005E69F1">
        <w:rPr>
          <w:rFonts w:eastAsia="Calibri" w:cs="Arial"/>
          <w:b/>
          <w:bCs/>
          <w:color w:val="000000"/>
          <w:szCs w:val="22"/>
          <w:lang w:eastAsia="en-GB"/>
        </w:rPr>
        <w:t xml:space="preserve">hose </w:t>
      </w:r>
      <w:proofErr w:type="gramStart"/>
      <w:r>
        <w:rPr>
          <w:rFonts w:eastAsia="Calibri" w:cs="Arial"/>
          <w:b/>
          <w:bCs/>
          <w:color w:val="000000"/>
          <w:szCs w:val="22"/>
          <w:lang w:eastAsia="en-GB"/>
        </w:rPr>
        <w:t>I</w:t>
      </w:r>
      <w:r w:rsidRPr="005E69F1">
        <w:rPr>
          <w:rFonts w:eastAsia="Calibri" w:cs="Arial"/>
          <w:b/>
          <w:bCs/>
          <w:color w:val="000000"/>
          <w:szCs w:val="22"/>
          <w:lang w:eastAsia="en-GB"/>
        </w:rPr>
        <w:t>n</w:t>
      </w:r>
      <w:proofErr w:type="gramEnd"/>
      <w:r w:rsidRPr="005E69F1">
        <w:rPr>
          <w:rFonts w:eastAsia="Calibri" w:cs="Arial"/>
          <w:b/>
          <w:bCs/>
          <w:color w:val="000000"/>
          <w:szCs w:val="22"/>
          <w:lang w:eastAsia="en-GB"/>
        </w:rPr>
        <w:t xml:space="preserve"> </w:t>
      </w:r>
      <w:r>
        <w:rPr>
          <w:rFonts w:eastAsia="Calibri" w:cs="Arial"/>
          <w:b/>
          <w:bCs/>
          <w:color w:val="000000"/>
          <w:szCs w:val="22"/>
          <w:lang w:eastAsia="en-GB"/>
        </w:rPr>
        <w:t>N</w:t>
      </w:r>
      <w:r w:rsidRPr="005E69F1">
        <w:rPr>
          <w:rFonts w:eastAsia="Calibri" w:cs="Arial"/>
          <w:b/>
          <w:bCs/>
          <w:color w:val="000000"/>
          <w:szCs w:val="22"/>
          <w:lang w:eastAsia="en-GB"/>
        </w:rPr>
        <w:t xml:space="preserve">eed </w:t>
      </w:r>
      <w:r>
        <w:rPr>
          <w:rFonts w:eastAsia="Calibri" w:cs="Arial"/>
          <w:b/>
          <w:bCs/>
          <w:color w:val="000000"/>
          <w:szCs w:val="22"/>
          <w:lang w:eastAsia="en-GB"/>
        </w:rPr>
        <w:t>A</w:t>
      </w:r>
      <w:r w:rsidRPr="005E69F1">
        <w:rPr>
          <w:rFonts w:eastAsia="Calibri" w:cs="Arial"/>
          <w:b/>
          <w:bCs/>
          <w:color w:val="000000"/>
          <w:szCs w:val="22"/>
          <w:lang w:eastAsia="en-GB"/>
        </w:rPr>
        <w:t xml:space="preserve">re </w:t>
      </w:r>
      <w:r>
        <w:rPr>
          <w:rFonts w:eastAsia="Calibri" w:cs="Arial"/>
          <w:b/>
          <w:bCs/>
          <w:color w:val="000000"/>
          <w:szCs w:val="22"/>
          <w:lang w:eastAsia="en-GB"/>
        </w:rPr>
        <w:t>S</w:t>
      </w:r>
      <w:r w:rsidRPr="005E69F1">
        <w:rPr>
          <w:rFonts w:eastAsia="Calibri" w:cs="Arial"/>
          <w:b/>
          <w:bCs/>
          <w:color w:val="000000"/>
          <w:szCs w:val="22"/>
          <w:lang w:eastAsia="en-GB"/>
        </w:rPr>
        <w:t>upported</w:t>
      </w:r>
    </w:p>
    <w:p w14:paraId="3E031B0E" w14:textId="77777777" w:rsidR="00E03A7E" w:rsidRPr="00406B99" w:rsidRDefault="00E03A7E" w:rsidP="00E03A7E">
      <w:pPr>
        <w:pStyle w:val="ListParagraph"/>
        <w:jc w:val="both"/>
        <w:rPr>
          <w:rFonts w:ascii="Arial Bold" w:hAnsi="Arial Bold"/>
          <w:b/>
          <w:sz w:val="24"/>
        </w:rPr>
      </w:pPr>
    </w:p>
    <w:p w14:paraId="6D789624" w14:textId="78903185" w:rsidR="00CC02E2" w:rsidRDefault="00E03A7E" w:rsidP="00E03A7E">
      <w:pPr>
        <w:rPr>
          <w:rFonts w:cs="Arial"/>
          <w:szCs w:val="24"/>
          <w:lang w:val="en-US"/>
        </w:rPr>
      </w:pPr>
      <w:r>
        <w:rPr>
          <w:rFonts w:cs="Arial"/>
          <w:szCs w:val="24"/>
          <w:lang w:val="en-US"/>
        </w:rPr>
        <w:t xml:space="preserve">Having a robust Corporate Anti-Fraud and Corruption Strategy contributes to </w:t>
      </w:r>
      <w:proofErr w:type="gramStart"/>
      <w:r>
        <w:rPr>
          <w:rFonts w:cs="Arial"/>
          <w:szCs w:val="24"/>
          <w:lang w:val="en-US"/>
        </w:rPr>
        <w:t>all of</w:t>
      </w:r>
      <w:proofErr w:type="gramEnd"/>
      <w:r>
        <w:rPr>
          <w:rFonts w:cs="Arial"/>
          <w:szCs w:val="24"/>
          <w:lang w:val="en-US"/>
        </w:rPr>
        <w:t xml:space="preserve"> the Council’s corporate priorities.  </w:t>
      </w:r>
      <w:r w:rsidRPr="00406B99">
        <w:rPr>
          <w:rFonts w:cs="Arial"/>
          <w:bCs/>
          <w:lang w:val="en-US"/>
        </w:rPr>
        <w:t xml:space="preserve">The work of the Internal Audit </w:t>
      </w:r>
      <w:r>
        <w:rPr>
          <w:rFonts w:cs="Arial"/>
          <w:bCs/>
          <w:lang w:val="en-US"/>
        </w:rPr>
        <w:t xml:space="preserve">and Corporate Anti-Fraud </w:t>
      </w:r>
      <w:r w:rsidRPr="00406B99">
        <w:rPr>
          <w:rFonts w:cs="Arial"/>
          <w:bCs/>
          <w:lang w:val="en-US"/>
        </w:rPr>
        <w:t>service</w:t>
      </w:r>
      <w:r>
        <w:rPr>
          <w:rFonts w:cs="Arial"/>
          <w:bCs/>
          <w:lang w:val="en-US"/>
        </w:rPr>
        <w:t>s</w:t>
      </w:r>
      <w:r w:rsidRPr="00406B99">
        <w:rPr>
          <w:rFonts w:cs="Arial"/>
          <w:bCs/>
          <w:lang w:val="en-US"/>
        </w:rPr>
        <w:t xml:space="preserve"> supports the delivery of the Council’s priorities by providing assurance on the effectiveness of risk management, </w:t>
      </w:r>
      <w:proofErr w:type="gramStart"/>
      <w:r w:rsidRPr="00406B99">
        <w:rPr>
          <w:rFonts w:cs="Arial"/>
          <w:bCs/>
          <w:lang w:val="en-US"/>
        </w:rPr>
        <w:t>control</w:t>
      </w:r>
      <w:proofErr w:type="gramEnd"/>
      <w:r w:rsidRPr="00406B99">
        <w:rPr>
          <w:rFonts w:cs="Arial"/>
          <w:bCs/>
          <w:lang w:val="en-US"/>
        </w:rPr>
        <w:t xml:space="preserve"> and governance processes, making recommendations to improve these processes</w:t>
      </w:r>
      <w:r>
        <w:rPr>
          <w:rFonts w:cs="Arial"/>
          <w:bCs/>
          <w:lang w:val="en-US"/>
        </w:rPr>
        <w:t xml:space="preserve"> and</w:t>
      </w:r>
      <w:r w:rsidRPr="00406B99">
        <w:rPr>
          <w:rFonts w:cs="Arial"/>
          <w:bCs/>
          <w:lang w:val="en-US"/>
        </w:rPr>
        <w:t xml:space="preserve"> </w:t>
      </w:r>
      <w:r>
        <w:rPr>
          <w:rFonts w:cs="Arial"/>
          <w:bCs/>
          <w:lang w:val="en-US"/>
        </w:rPr>
        <w:t xml:space="preserve">investigating allegations of fraud and irregularity, </w:t>
      </w:r>
      <w:r w:rsidRPr="00406B99">
        <w:rPr>
          <w:rFonts w:cs="Arial"/>
          <w:bCs/>
          <w:lang w:val="en-US"/>
        </w:rPr>
        <w:t>increasing the likelihood of the achievement of the priorities</w:t>
      </w:r>
      <w:r>
        <w:rPr>
          <w:rFonts w:cs="Arial"/>
          <w:bCs/>
          <w:lang w:val="en-US"/>
        </w:rPr>
        <w:t xml:space="preserve">. </w:t>
      </w:r>
    </w:p>
    <w:p w14:paraId="7F25CCB3" w14:textId="77777777" w:rsidR="00253C68" w:rsidRDefault="00253C68" w:rsidP="00912904">
      <w:pPr>
        <w:pStyle w:val="Heading2"/>
      </w:pPr>
    </w:p>
    <w:p w14:paraId="11BF41CC" w14:textId="0B991234" w:rsidR="002A2389" w:rsidRDefault="002A2389" w:rsidP="00912904">
      <w:pPr>
        <w:pStyle w:val="Heading2"/>
      </w:pPr>
      <w:r>
        <w:lastRenderedPageBreak/>
        <w:t xml:space="preserve">Section 3 </w:t>
      </w:r>
      <w:r w:rsidR="00253C68">
        <w:t>–</w:t>
      </w:r>
      <w:r>
        <w:t xml:space="preserve"> Statutory Officer Clearance</w:t>
      </w:r>
    </w:p>
    <w:p w14:paraId="077143F8" w14:textId="77777777" w:rsidR="002A2389" w:rsidRDefault="002A2389" w:rsidP="008D1750">
      <w:pPr>
        <w:keepNext/>
        <w:rPr>
          <w:rFonts w:cs="Arial"/>
        </w:rPr>
      </w:pPr>
    </w:p>
    <w:p w14:paraId="3346E722" w14:textId="77777777" w:rsidR="00253C68" w:rsidRDefault="00253C68" w:rsidP="00B63ED2">
      <w:pPr>
        <w:rPr>
          <w:b/>
          <w:sz w:val="28"/>
        </w:rPr>
      </w:pPr>
    </w:p>
    <w:p w14:paraId="0E8E5C5A" w14:textId="77777777" w:rsidR="005A2416" w:rsidRPr="00253C68" w:rsidRDefault="00912904" w:rsidP="005A2416">
      <w:pPr>
        <w:rPr>
          <w:bCs/>
          <w:sz w:val="28"/>
        </w:rPr>
      </w:pPr>
      <w:r w:rsidRPr="00A66326">
        <w:rPr>
          <w:b/>
          <w:sz w:val="28"/>
        </w:rPr>
        <w:t>Statutory Officer:</w:t>
      </w:r>
      <w:r w:rsidR="005A2416">
        <w:rPr>
          <w:b/>
          <w:sz w:val="28"/>
        </w:rPr>
        <w:t xml:space="preserve"> </w:t>
      </w:r>
      <w:r w:rsidR="005A2416" w:rsidRPr="005A2416">
        <w:rPr>
          <w:b/>
          <w:sz w:val="28"/>
        </w:rPr>
        <w:t>Sharon Daniels</w:t>
      </w:r>
    </w:p>
    <w:p w14:paraId="5C845B47" w14:textId="0679A218" w:rsidR="00253C68" w:rsidRDefault="00253C68" w:rsidP="00B63ED2">
      <w:pPr>
        <w:rPr>
          <w:b/>
          <w:sz w:val="28"/>
        </w:rPr>
      </w:pPr>
    </w:p>
    <w:p w14:paraId="406B3562" w14:textId="1C2B54C9" w:rsidR="00B63ED2" w:rsidRPr="00253C68" w:rsidRDefault="00253C68" w:rsidP="00B63ED2">
      <w:pPr>
        <w:rPr>
          <w:bCs/>
          <w:sz w:val="28"/>
        </w:rPr>
      </w:pPr>
      <w:r w:rsidRPr="00253C68">
        <w:rPr>
          <w:bCs/>
          <w:sz w:val="28"/>
        </w:rPr>
        <w:t>Signed by the Chief Financial Officer</w:t>
      </w:r>
    </w:p>
    <w:p w14:paraId="4F26E9B5" w14:textId="77777777" w:rsidR="00B63ED2" w:rsidRDefault="00B63ED2" w:rsidP="00B63ED2">
      <w:pPr>
        <w:rPr>
          <w:sz w:val="28"/>
        </w:rPr>
      </w:pPr>
    </w:p>
    <w:p w14:paraId="5745A2E3" w14:textId="0D8E85B1" w:rsidR="00912904" w:rsidRPr="00A66326" w:rsidRDefault="00912904" w:rsidP="00B63ED2">
      <w:pPr>
        <w:rPr>
          <w:sz w:val="28"/>
        </w:rPr>
      </w:pPr>
      <w:r w:rsidRPr="00A66326">
        <w:rPr>
          <w:b/>
          <w:sz w:val="28"/>
        </w:rPr>
        <w:t xml:space="preserve">Date: </w:t>
      </w:r>
      <w:r w:rsidRPr="005C0F57">
        <w:rPr>
          <w:bCs/>
          <w:sz w:val="28"/>
        </w:rPr>
        <w:t xml:space="preserve"> </w:t>
      </w:r>
      <w:r w:rsidR="00442488" w:rsidRPr="005C0F57">
        <w:rPr>
          <w:bCs/>
          <w:sz w:val="28"/>
        </w:rPr>
        <w:t>1</w:t>
      </w:r>
      <w:r w:rsidR="00AB0F9E">
        <w:rPr>
          <w:bCs/>
          <w:sz w:val="28"/>
        </w:rPr>
        <w:t>9</w:t>
      </w:r>
      <w:r w:rsidR="00442488" w:rsidRPr="005C0F57">
        <w:rPr>
          <w:bCs/>
          <w:sz w:val="28"/>
        </w:rPr>
        <w:t xml:space="preserve"> January 20204</w:t>
      </w:r>
    </w:p>
    <w:p w14:paraId="1CFA8CDC" w14:textId="77777777" w:rsidR="00B63ED2" w:rsidRDefault="00B63ED2" w:rsidP="00912904">
      <w:pPr>
        <w:rPr>
          <w:b/>
          <w:sz w:val="28"/>
        </w:rPr>
      </w:pPr>
    </w:p>
    <w:p w14:paraId="2586CC50" w14:textId="578AF7A5" w:rsidR="00912904" w:rsidRDefault="00912904" w:rsidP="00912904">
      <w:pPr>
        <w:rPr>
          <w:b/>
          <w:sz w:val="28"/>
        </w:rPr>
      </w:pPr>
      <w:r w:rsidRPr="00A66326">
        <w:rPr>
          <w:b/>
          <w:sz w:val="28"/>
        </w:rPr>
        <w:t>Statutory Officer:</w:t>
      </w:r>
      <w:r w:rsidR="00442488">
        <w:rPr>
          <w:b/>
          <w:sz w:val="28"/>
        </w:rPr>
        <w:t xml:space="preserve"> </w:t>
      </w:r>
      <w:r w:rsidR="005A2416" w:rsidRPr="005A2416">
        <w:rPr>
          <w:b/>
          <w:sz w:val="28"/>
        </w:rPr>
        <w:t>Jessica Farmer</w:t>
      </w:r>
    </w:p>
    <w:p w14:paraId="04ACDDC3" w14:textId="1E950FC7" w:rsidR="00253C68" w:rsidRPr="00253C68" w:rsidRDefault="00253C68" w:rsidP="00912904">
      <w:pPr>
        <w:rPr>
          <w:bCs/>
          <w:sz w:val="28"/>
        </w:rPr>
      </w:pPr>
      <w:r>
        <w:rPr>
          <w:bCs/>
          <w:sz w:val="28"/>
        </w:rPr>
        <w:t xml:space="preserve">Signed by the Monitoring </w:t>
      </w:r>
      <w:proofErr w:type="gramStart"/>
      <w:r>
        <w:rPr>
          <w:bCs/>
          <w:sz w:val="28"/>
        </w:rPr>
        <w:t>Officer :</w:t>
      </w:r>
      <w:proofErr w:type="gramEnd"/>
      <w:r>
        <w:rPr>
          <w:bCs/>
          <w:sz w:val="28"/>
        </w:rPr>
        <w:t xml:space="preserve"> </w:t>
      </w:r>
    </w:p>
    <w:p w14:paraId="4E4F48EC" w14:textId="37087DA2" w:rsidR="00912904" w:rsidRPr="002548D1" w:rsidRDefault="00912904" w:rsidP="00B63ED2">
      <w:pPr>
        <w:jc w:val="both"/>
        <w:rPr>
          <w:rFonts w:cs="Arial"/>
          <w:color w:val="FF0000"/>
        </w:rPr>
      </w:pPr>
    </w:p>
    <w:p w14:paraId="52AD6B43" w14:textId="77777777" w:rsidR="00912904" w:rsidRPr="00A66326" w:rsidRDefault="00912904" w:rsidP="00912904">
      <w:pPr>
        <w:rPr>
          <w:sz w:val="28"/>
        </w:rPr>
      </w:pPr>
    </w:p>
    <w:p w14:paraId="61F8C7E6" w14:textId="67C877D3" w:rsidR="00912904" w:rsidRPr="003313EA" w:rsidRDefault="00912904" w:rsidP="00912904">
      <w:pPr>
        <w:spacing w:after="480"/>
        <w:rPr>
          <w:sz w:val="28"/>
        </w:rPr>
      </w:pPr>
      <w:r w:rsidRPr="00A66326">
        <w:rPr>
          <w:b/>
          <w:sz w:val="28"/>
        </w:rPr>
        <w:t xml:space="preserve">Date:  </w:t>
      </w:r>
      <w:r w:rsidR="005C0F57" w:rsidRPr="005C0F57">
        <w:rPr>
          <w:bCs/>
          <w:sz w:val="28"/>
        </w:rPr>
        <w:t>1</w:t>
      </w:r>
      <w:r w:rsidR="00AB0F9E">
        <w:rPr>
          <w:bCs/>
          <w:sz w:val="28"/>
        </w:rPr>
        <w:t>9</w:t>
      </w:r>
      <w:r w:rsidR="005C0F57" w:rsidRPr="005C0F57">
        <w:rPr>
          <w:bCs/>
          <w:sz w:val="28"/>
        </w:rPr>
        <w:t xml:space="preserve"> January 2024</w:t>
      </w:r>
    </w:p>
    <w:p w14:paraId="3000957C" w14:textId="77777777" w:rsidR="00B63ED2" w:rsidRDefault="00B63ED2" w:rsidP="00912904">
      <w:pPr>
        <w:rPr>
          <w:b/>
          <w:sz w:val="28"/>
        </w:rPr>
      </w:pPr>
    </w:p>
    <w:p w14:paraId="686CE5D8" w14:textId="77777777" w:rsidR="00912904" w:rsidRPr="00435B5D" w:rsidRDefault="00912904" w:rsidP="00912904">
      <w:pPr>
        <w:pStyle w:val="Heading2"/>
        <w:spacing w:after="240"/>
      </w:pPr>
      <w:r>
        <w:t>Mandatory Checks</w:t>
      </w:r>
    </w:p>
    <w:p w14:paraId="71FBC41D" w14:textId="646985F6" w:rsidR="00912904" w:rsidRPr="00442488" w:rsidRDefault="00912904" w:rsidP="00442488">
      <w:pPr>
        <w:pStyle w:val="Heading3"/>
        <w:ind w:left="0" w:firstLine="0"/>
        <w:rPr>
          <w:sz w:val="28"/>
        </w:rPr>
      </w:pPr>
      <w:r w:rsidRPr="00E90AFF">
        <w:rPr>
          <w:sz w:val="28"/>
        </w:rPr>
        <w:t xml:space="preserve">Ward Councillors notified:  </w:t>
      </w:r>
      <w:r w:rsidRPr="001C0DE6">
        <w:rPr>
          <w:b w:val="0"/>
          <w:bCs w:val="0"/>
          <w:sz w:val="28"/>
        </w:rPr>
        <w:t xml:space="preserve">NO, as it impacts on all </w:t>
      </w:r>
      <w:proofErr w:type="gramStart"/>
      <w:r w:rsidRPr="001C0DE6">
        <w:rPr>
          <w:b w:val="0"/>
          <w:bCs w:val="0"/>
          <w:sz w:val="28"/>
        </w:rPr>
        <w:t>Wards</w:t>
      </w:r>
      <w:proofErr w:type="gramEnd"/>
    </w:p>
    <w:p w14:paraId="629F8205" w14:textId="77777777" w:rsidR="002A2389" w:rsidRDefault="002A2389" w:rsidP="00912904">
      <w:pPr>
        <w:pStyle w:val="Heading2"/>
        <w:keepNext/>
        <w:spacing w:after="240"/>
      </w:pPr>
      <w:r>
        <w:t>Section 4 - Contact Details and Background Papers</w:t>
      </w:r>
    </w:p>
    <w:p w14:paraId="3FCB16FB" w14:textId="5DC410ED" w:rsidR="00442488" w:rsidRDefault="002A2389" w:rsidP="00442488">
      <w:pPr>
        <w:pStyle w:val="Infotext"/>
        <w:rPr>
          <w:rFonts w:cs="Arial"/>
          <w:sz w:val="24"/>
        </w:rPr>
      </w:pPr>
      <w:r w:rsidRPr="00D914D2">
        <w:rPr>
          <w:b/>
        </w:rPr>
        <w:t>Contact:</w:t>
      </w:r>
      <w:r>
        <w:t xml:space="preserve">  </w:t>
      </w:r>
      <w:r w:rsidR="00442488">
        <w:rPr>
          <w:rFonts w:cs="Arial"/>
          <w:sz w:val="24"/>
        </w:rPr>
        <w:t>Justin Phillips, Corporate Anti-Fraud Manager, 020 8424 1609</w:t>
      </w:r>
    </w:p>
    <w:p w14:paraId="6AA52E81" w14:textId="77777777" w:rsidR="00442488" w:rsidRDefault="00442488" w:rsidP="00442488">
      <w:pPr>
        <w:pStyle w:val="Infotext"/>
        <w:rPr>
          <w:rFonts w:cs="Arial"/>
          <w:sz w:val="24"/>
        </w:rPr>
      </w:pPr>
    </w:p>
    <w:p w14:paraId="28AF6FE8" w14:textId="789EB99B" w:rsidR="002A2389" w:rsidRDefault="002A2389" w:rsidP="00442488">
      <w:pPr>
        <w:pStyle w:val="Infotext"/>
      </w:pPr>
      <w:r w:rsidRPr="00D914D2">
        <w:rPr>
          <w:b/>
        </w:rPr>
        <w:t>Background Papers</w:t>
      </w:r>
      <w:r>
        <w:t xml:space="preserve">:  </w:t>
      </w:r>
      <w:r w:rsidR="00F8408A">
        <w:rPr>
          <w:rFonts w:cs="Arial"/>
          <w:sz w:val="24"/>
        </w:rPr>
        <w:t>None</w:t>
      </w:r>
    </w:p>
    <w:p w14:paraId="6D64D64B" w14:textId="77777777" w:rsidR="002A2389" w:rsidRPr="00B63ED2" w:rsidRDefault="002A2389" w:rsidP="00912904">
      <w:pPr>
        <w:pStyle w:val="Infotext"/>
        <w:spacing w:before="360" w:after="240"/>
        <w:rPr>
          <w:sz w:val="24"/>
          <w:szCs w:val="24"/>
        </w:rPr>
      </w:pPr>
      <w:r w:rsidRPr="00B63ED2">
        <w:rPr>
          <w:sz w:val="24"/>
          <w:szCs w:val="24"/>
        </w:rPr>
        <w:t xml:space="preserve">If appropriate, does the report include the following considerations? </w:t>
      </w:r>
    </w:p>
    <w:p w14:paraId="507DF23B" w14:textId="3E2BA7FC" w:rsidR="00912904" w:rsidRPr="00B63ED2" w:rsidRDefault="00912904">
      <w:pPr>
        <w:pStyle w:val="Infotext"/>
        <w:tabs>
          <w:tab w:val="left" w:pos="656"/>
          <w:tab w:val="left" w:pos="6399"/>
        </w:tabs>
        <w:rPr>
          <w:sz w:val="24"/>
          <w:szCs w:val="24"/>
        </w:rPr>
      </w:pPr>
      <w:r w:rsidRPr="00B63ED2">
        <w:rPr>
          <w:sz w:val="24"/>
          <w:szCs w:val="24"/>
        </w:rPr>
        <w:t>1.</w:t>
      </w:r>
      <w:r w:rsidRPr="00B63ED2">
        <w:rPr>
          <w:sz w:val="24"/>
          <w:szCs w:val="24"/>
        </w:rPr>
        <w:tab/>
        <w:t xml:space="preserve">Consultation </w:t>
      </w:r>
      <w:r w:rsidRPr="00B63ED2">
        <w:rPr>
          <w:sz w:val="24"/>
          <w:szCs w:val="24"/>
        </w:rPr>
        <w:tab/>
        <w:t>NO</w:t>
      </w:r>
    </w:p>
    <w:p w14:paraId="0AC2AC5C" w14:textId="7D3F068B" w:rsidR="00912904" w:rsidRPr="00B63ED2" w:rsidRDefault="00912904">
      <w:pPr>
        <w:pStyle w:val="Infotext"/>
        <w:tabs>
          <w:tab w:val="left" w:pos="656"/>
          <w:tab w:val="left" w:pos="6399"/>
        </w:tabs>
        <w:rPr>
          <w:sz w:val="24"/>
          <w:szCs w:val="24"/>
        </w:rPr>
      </w:pPr>
      <w:r w:rsidRPr="00B63ED2">
        <w:rPr>
          <w:sz w:val="24"/>
          <w:szCs w:val="24"/>
        </w:rPr>
        <w:t>2.</w:t>
      </w:r>
      <w:r w:rsidRPr="00B63ED2">
        <w:rPr>
          <w:sz w:val="24"/>
          <w:szCs w:val="24"/>
        </w:rPr>
        <w:tab/>
        <w:t>Priorities</w:t>
      </w:r>
      <w:r w:rsidR="00B63ED2">
        <w:rPr>
          <w:sz w:val="24"/>
          <w:szCs w:val="24"/>
        </w:rPr>
        <w:tab/>
        <w:t>YES</w:t>
      </w:r>
      <w:r w:rsidRPr="00B63ED2">
        <w:rPr>
          <w:sz w:val="24"/>
          <w:szCs w:val="24"/>
        </w:rPr>
        <w:t xml:space="preserve"> </w:t>
      </w:r>
    </w:p>
    <w:p w14:paraId="695B009D" w14:textId="77777777" w:rsidR="002A2389" w:rsidRDefault="002A2389"/>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ACAB1" w14:textId="77777777" w:rsidR="007620EF" w:rsidRDefault="007620EF">
      <w:r>
        <w:separator/>
      </w:r>
    </w:p>
  </w:endnote>
  <w:endnote w:type="continuationSeparator" w:id="0">
    <w:p w14:paraId="74446E7A" w14:textId="77777777" w:rsidR="007620EF" w:rsidRDefault="00762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703FA" w14:textId="77777777" w:rsidR="007620EF" w:rsidRDefault="007620EF">
      <w:r>
        <w:separator/>
      </w:r>
    </w:p>
  </w:footnote>
  <w:footnote w:type="continuationSeparator" w:id="0">
    <w:p w14:paraId="443DF9C4" w14:textId="77777777" w:rsidR="007620EF" w:rsidRDefault="007620EF">
      <w:r>
        <w:continuationSeparator/>
      </w:r>
    </w:p>
  </w:footnote>
  <w:footnote w:id="1">
    <w:p w14:paraId="3C687CB1" w14:textId="17A2DBE6" w:rsidR="00524649" w:rsidRDefault="00524649">
      <w:pPr>
        <w:pStyle w:val="FootnoteText"/>
      </w:pPr>
      <w:r>
        <w:rPr>
          <w:rStyle w:val="FootnoteReference"/>
        </w:rPr>
        <w:footnoteRef/>
      </w:r>
      <w:r>
        <w:t xml:space="preserve"> </w:t>
      </w:r>
      <w:r w:rsidRPr="00524649">
        <w:t>https://publications.parliament.uk/pa/cm5803/cmselect/cmjust/12/summary.html</w:t>
      </w:r>
    </w:p>
  </w:footnote>
  <w:footnote w:id="2">
    <w:p w14:paraId="54C66CCF" w14:textId="3451A5EB" w:rsidR="00524649" w:rsidRDefault="00524649">
      <w:pPr>
        <w:pStyle w:val="FootnoteText"/>
      </w:pPr>
      <w:r>
        <w:rPr>
          <w:rStyle w:val="FootnoteReference"/>
        </w:rPr>
        <w:footnoteRef/>
      </w:r>
      <w:r>
        <w:t xml:space="preserve"> </w:t>
      </w:r>
      <w:r w:rsidRPr="00524649">
        <w:t>https://www.cifas.org.uk/insight/public-affairs-policy/fighting-fraud-corruption-local-authorities/ffcl-strategy-2020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BD4F16"/>
    <w:multiLevelType w:val="hybridMultilevel"/>
    <w:tmpl w:val="BBF8BB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9" w15:restartNumberingAfterBreak="0">
    <w:nsid w:val="432C2930"/>
    <w:multiLevelType w:val="hybridMultilevel"/>
    <w:tmpl w:val="771E408C"/>
    <w:lvl w:ilvl="0" w:tplc="3E98B9D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1294459">
    <w:abstractNumId w:val="15"/>
  </w:num>
  <w:num w:numId="2" w16cid:durableId="281421632">
    <w:abstractNumId w:val="11"/>
  </w:num>
  <w:num w:numId="3" w16cid:durableId="819076666">
    <w:abstractNumId w:val="14"/>
  </w:num>
  <w:num w:numId="4" w16cid:durableId="563222970">
    <w:abstractNumId w:val="1"/>
  </w:num>
  <w:num w:numId="5" w16cid:durableId="5971990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42285272">
    <w:abstractNumId w:val="7"/>
  </w:num>
  <w:num w:numId="7" w16cid:durableId="1876624691">
    <w:abstractNumId w:val="8"/>
  </w:num>
  <w:num w:numId="8" w16cid:durableId="540630687">
    <w:abstractNumId w:val="5"/>
  </w:num>
  <w:num w:numId="9" w16cid:durableId="830095860">
    <w:abstractNumId w:val="4"/>
  </w:num>
  <w:num w:numId="10" w16cid:durableId="1661034764">
    <w:abstractNumId w:val="13"/>
  </w:num>
  <w:num w:numId="11" w16cid:durableId="1590187774">
    <w:abstractNumId w:val="16"/>
  </w:num>
  <w:num w:numId="12" w16cid:durableId="2056153764">
    <w:abstractNumId w:val="12"/>
  </w:num>
  <w:num w:numId="13" w16cid:durableId="2137479983">
    <w:abstractNumId w:val="3"/>
  </w:num>
  <w:num w:numId="14" w16cid:durableId="723915313">
    <w:abstractNumId w:val="6"/>
  </w:num>
  <w:num w:numId="15" w16cid:durableId="1230113628">
    <w:abstractNumId w:val="10"/>
  </w:num>
  <w:num w:numId="16" w16cid:durableId="825586076">
    <w:abstractNumId w:val="9"/>
  </w:num>
  <w:num w:numId="17" w16cid:durableId="11184508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03"/>
    <w:rsid w:val="00005572"/>
    <w:rsid w:val="00023F4C"/>
    <w:rsid w:val="00057F10"/>
    <w:rsid w:val="000633A2"/>
    <w:rsid w:val="00071EB4"/>
    <w:rsid w:val="00077298"/>
    <w:rsid w:val="000A58A1"/>
    <w:rsid w:val="000A6659"/>
    <w:rsid w:val="000B0E6F"/>
    <w:rsid w:val="000B6DBB"/>
    <w:rsid w:val="000D2BF2"/>
    <w:rsid w:val="000D5870"/>
    <w:rsid w:val="000E7995"/>
    <w:rsid w:val="000F65C0"/>
    <w:rsid w:val="001242D7"/>
    <w:rsid w:val="001939BA"/>
    <w:rsid w:val="001A6EB0"/>
    <w:rsid w:val="001B441D"/>
    <w:rsid w:val="001C0DE6"/>
    <w:rsid w:val="001C5225"/>
    <w:rsid w:val="001E0219"/>
    <w:rsid w:val="001E6598"/>
    <w:rsid w:val="00213BE7"/>
    <w:rsid w:val="00231A1D"/>
    <w:rsid w:val="00244120"/>
    <w:rsid w:val="00253C68"/>
    <w:rsid w:val="00282E16"/>
    <w:rsid w:val="00293F9F"/>
    <w:rsid w:val="002A2389"/>
    <w:rsid w:val="002C08E2"/>
    <w:rsid w:val="002C1794"/>
    <w:rsid w:val="002D2FC5"/>
    <w:rsid w:val="002D7137"/>
    <w:rsid w:val="002E6637"/>
    <w:rsid w:val="002E77E3"/>
    <w:rsid w:val="003143A3"/>
    <w:rsid w:val="00332947"/>
    <w:rsid w:val="00333EB4"/>
    <w:rsid w:val="00345915"/>
    <w:rsid w:val="003503F6"/>
    <w:rsid w:val="00365D29"/>
    <w:rsid w:val="00374F22"/>
    <w:rsid w:val="003B4392"/>
    <w:rsid w:val="003D2FFE"/>
    <w:rsid w:val="003D5F0A"/>
    <w:rsid w:val="00400032"/>
    <w:rsid w:val="00403D16"/>
    <w:rsid w:val="0042394B"/>
    <w:rsid w:val="00442488"/>
    <w:rsid w:val="00452753"/>
    <w:rsid w:val="00473B08"/>
    <w:rsid w:val="00474B5F"/>
    <w:rsid w:val="004A3CE6"/>
    <w:rsid w:val="004A4A1D"/>
    <w:rsid w:val="004B2C9D"/>
    <w:rsid w:val="004B4A47"/>
    <w:rsid w:val="004E667D"/>
    <w:rsid w:val="004E6AF9"/>
    <w:rsid w:val="005031DF"/>
    <w:rsid w:val="00524649"/>
    <w:rsid w:val="005431C2"/>
    <w:rsid w:val="00597314"/>
    <w:rsid w:val="005A2416"/>
    <w:rsid w:val="005A61AF"/>
    <w:rsid w:val="005C0F57"/>
    <w:rsid w:val="005D0886"/>
    <w:rsid w:val="005D4656"/>
    <w:rsid w:val="005E384D"/>
    <w:rsid w:val="005F2181"/>
    <w:rsid w:val="005F724B"/>
    <w:rsid w:val="00606705"/>
    <w:rsid w:val="00625DFF"/>
    <w:rsid w:val="00626D8B"/>
    <w:rsid w:val="0063072B"/>
    <w:rsid w:val="00662891"/>
    <w:rsid w:val="006628B7"/>
    <w:rsid w:val="00675FCB"/>
    <w:rsid w:val="006A0B87"/>
    <w:rsid w:val="006A1C64"/>
    <w:rsid w:val="006B3942"/>
    <w:rsid w:val="006C3914"/>
    <w:rsid w:val="006C4D4C"/>
    <w:rsid w:val="006D3648"/>
    <w:rsid w:val="006E754F"/>
    <w:rsid w:val="006F1291"/>
    <w:rsid w:val="006F13FE"/>
    <w:rsid w:val="00717E8A"/>
    <w:rsid w:val="00732E46"/>
    <w:rsid w:val="0074184E"/>
    <w:rsid w:val="00743829"/>
    <w:rsid w:val="00755F8D"/>
    <w:rsid w:val="007620EF"/>
    <w:rsid w:val="007855AE"/>
    <w:rsid w:val="00796503"/>
    <w:rsid w:val="007B0CB6"/>
    <w:rsid w:val="007D2BDA"/>
    <w:rsid w:val="007D56C8"/>
    <w:rsid w:val="007E3934"/>
    <w:rsid w:val="007E7303"/>
    <w:rsid w:val="008212A0"/>
    <w:rsid w:val="00837F53"/>
    <w:rsid w:val="00861BD8"/>
    <w:rsid w:val="00862DDC"/>
    <w:rsid w:val="00880386"/>
    <w:rsid w:val="008D1750"/>
    <w:rsid w:val="008D7800"/>
    <w:rsid w:val="008E2910"/>
    <w:rsid w:val="008E4913"/>
    <w:rsid w:val="008E4CC2"/>
    <w:rsid w:val="00900464"/>
    <w:rsid w:val="0090100E"/>
    <w:rsid w:val="0091128A"/>
    <w:rsid w:val="00912904"/>
    <w:rsid w:val="0093767E"/>
    <w:rsid w:val="00972A02"/>
    <w:rsid w:val="0097544B"/>
    <w:rsid w:val="0099517C"/>
    <w:rsid w:val="009A0937"/>
    <w:rsid w:val="009B2ECD"/>
    <w:rsid w:val="009B7914"/>
    <w:rsid w:val="009E6F1C"/>
    <w:rsid w:val="009F3328"/>
    <w:rsid w:val="009F430B"/>
    <w:rsid w:val="00A160B2"/>
    <w:rsid w:val="00A16271"/>
    <w:rsid w:val="00A566E7"/>
    <w:rsid w:val="00A630BF"/>
    <w:rsid w:val="00A73B25"/>
    <w:rsid w:val="00A858A3"/>
    <w:rsid w:val="00A940D3"/>
    <w:rsid w:val="00A96FCA"/>
    <w:rsid w:val="00AA1293"/>
    <w:rsid w:val="00AA4BE8"/>
    <w:rsid w:val="00AB0F9E"/>
    <w:rsid w:val="00AC0AAB"/>
    <w:rsid w:val="00AC7BA9"/>
    <w:rsid w:val="00AE62C5"/>
    <w:rsid w:val="00B0425E"/>
    <w:rsid w:val="00B10CE2"/>
    <w:rsid w:val="00B5659F"/>
    <w:rsid w:val="00B63ED2"/>
    <w:rsid w:val="00B72373"/>
    <w:rsid w:val="00B900E2"/>
    <w:rsid w:val="00B9118E"/>
    <w:rsid w:val="00B971FB"/>
    <w:rsid w:val="00BD0F87"/>
    <w:rsid w:val="00BD6115"/>
    <w:rsid w:val="00BD684A"/>
    <w:rsid w:val="00BE5E56"/>
    <w:rsid w:val="00C32DAE"/>
    <w:rsid w:val="00C35C31"/>
    <w:rsid w:val="00C40228"/>
    <w:rsid w:val="00C40E24"/>
    <w:rsid w:val="00C61B80"/>
    <w:rsid w:val="00C856AE"/>
    <w:rsid w:val="00C92D9A"/>
    <w:rsid w:val="00C943CB"/>
    <w:rsid w:val="00C96EF5"/>
    <w:rsid w:val="00CC02E2"/>
    <w:rsid w:val="00D25064"/>
    <w:rsid w:val="00D32B51"/>
    <w:rsid w:val="00D34668"/>
    <w:rsid w:val="00D3740E"/>
    <w:rsid w:val="00D40335"/>
    <w:rsid w:val="00D82F57"/>
    <w:rsid w:val="00D841A5"/>
    <w:rsid w:val="00D914D2"/>
    <w:rsid w:val="00D91949"/>
    <w:rsid w:val="00DA25DB"/>
    <w:rsid w:val="00DB0791"/>
    <w:rsid w:val="00DD4251"/>
    <w:rsid w:val="00DD7DF6"/>
    <w:rsid w:val="00E02B50"/>
    <w:rsid w:val="00E03A7E"/>
    <w:rsid w:val="00E03F11"/>
    <w:rsid w:val="00E06DC8"/>
    <w:rsid w:val="00E220B5"/>
    <w:rsid w:val="00E33D93"/>
    <w:rsid w:val="00E43E77"/>
    <w:rsid w:val="00E609EF"/>
    <w:rsid w:val="00E8515B"/>
    <w:rsid w:val="00E90AFF"/>
    <w:rsid w:val="00EA0B21"/>
    <w:rsid w:val="00EF2F91"/>
    <w:rsid w:val="00F013D9"/>
    <w:rsid w:val="00F23852"/>
    <w:rsid w:val="00F33EE3"/>
    <w:rsid w:val="00F4213B"/>
    <w:rsid w:val="00F806B8"/>
    <w:rsid w:val="00F8408A"/>
    <w:rsid w:val="00F849ED"/>
    <w:rsid w:val="00F92398"/>
    <w:rsid w:val="00FB3BDF"/>
    <w:rsid w:val="00FD31A0"/>
    <w:rsid w:val="00FF6AAD"/>
    <w:rsid w:val="00FF71E5"/>
    <w:rsid w:val="0F0E420D"/>
    <w:rsid w:val="0FF68AB4"/>
    <w:rsid w:val="1CEE1241"/>
    <w:rsid w:val="325B2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E5ED5E"/>
  <w15:docId w15:val="{97EBD9F3-8B6F-4FFD-9A97-9F7A61F9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0F9E"/>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character" w:styleId="UnresolvedMention">
    <w:name w:val="Unresolved Mention"/>
    <w:basedOn w:val="DefaultParagraphFont"/>
    <w:uiPriority w:val="99"/>
    <w:semiHidden/>
    <w:unhideWhenUsed/>
    <w:rsid w:val="006B3942"/>
    <w:rPr>
      <w:color w:val="605E5C"/>
      <w:shd w:val="clear" w:color="auto" w:fill="E1DFDD"/>
    </w:rPr>
  </w:style>
  <w:style w:type="paragraph" w:customStyle="1" w:styleId="StyleListParagraphBold">
    <w:name w:val="Style List Paragraph + Bold"/>
    <w:basedOn w:val="ListParagraph"/>
    <w:rsid w:val="00CC02E2"/>
    <w:rPr>
      <w:b/>
      <w:bCs/>
      <w:sz w:val="24"/>
    </w:rPr>
  </w:style>
  <w:style w:type="paragraph" w:styleId="FootnoteText">
    <w:name w:val="footnote text"/>
    <w:basedOn w:val="Normal"/>
    <w:link w:val="FootnoteTextChar"/>
    <w:semiHidden/>
    <w:unhideWhenUsed/>
    <w:rsid w:val="00524649"/>
    <w:rPr>
      <w:sz w:val="20"/>
    </w:rPr>
  </w:style>
  <w:style w:type="character" w:customStyle="1" w:styleId="FootnoteTextChar">
    <w:name w:val="Footnote Text Char"/>
    <w:basedOn w:val="DefaultParagraphFont"/>
    <w:link w:val="FootnoteText"/>
    <w:semiHidden/>
    <w:rsid w:val="00524649"/>
    <w:rPr>
      <w:rFonts w:ascii="Arial" w:hAnsi="Arial"/>
      <w:lang w:eastAsia="en-US"/>
    </w:rPr>
  </w:style>
  <w:style w:type="character" w:styleId="FootnoteReference">
    <w:name w:val="footnote reference"/>
    <w:basedOn w:val="DefaultParagraphFont"/>
    <w:semiHidden/>
    <w:unhideWhenUsed/>
    <w:rsid w:val="00524649"/>
    <w:rPr>
      <w:vertAlign w:val="superscript"/>
    </w:rPr>
  </w:style>
  <w:style w:type="paragraph" w:styleId="Revision">
    <w:name w:val="Revision"/>
    <w:hidden/>
    <w:uiPriority w:val="99"/>
    <w:semiHidden/>
    <w:rsid w:val="00C856AE"/>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61656D7C1F0F24B9A4111951FA94E15" ma:contentTypeVersion="7" ma:contentTypeDescription="Create a new document." ma:contentTypeScope="" ma:versionID="3659ac0284419656479f61f95d678991">
  <xsd:schema xmlns:xsd="http://www.w3.org/2001/XMLSchema" xmlns:xs="http://www.w3.org/2001/XMLSchema" xmlns:p="http://schemas.microsoft.com/office/2006/metadata/properties" xmlns:ns2="48fdd5af-7127-4349-9ef8-8ec3aedfe79a" xmlns:ns3="d7bf0660-0b03-4216-b364-8c8e0fe76916" targetNamespace="http://schemas.microsoft.com/office/2006/metadata/properties" ma:root="true" ma:fieldsID="6f9383cf44032441e0fdfb41ec06ad5c" ns2:_="" ns3:_="">
    <xsd:import namespace="48fdd5af-7127-4349-9ef8-8ec3aedfe79a"/>
    <xsd:import namespace="d7bf0660-0b03-4216-b364-8c8e0fe769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dd5af-7127-4349-9ef8-8ec3aedfe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bf0660-0b03-4216-b364-8c8e0fe769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EFE060-111E-4D12-B456-B043408F24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EB20FA-7B1B-497A-862A-A783FD043FF1}">
  <ds:schemaRefs>
    <ds:schemaRef ds:uri="http://schemas.openxmlformats.org/officeDocument/2006/bibliography"/>
  </ds:schemaRefs>
</ds:datastoreItem>
</file>

<file path=customXml/itemProps3.xml><?xml version="1.0" encoding="utf-8"?>
<ds:datastoreItem xmlns:ds="http://schemas.openxmlformats.org/officeDocument/2006/customXml" ds:itemID="{7F9B791D-13BA-4A8C-BC94-3C41F978C4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dd5af-7127-4349-9ef8-8ec3aedfe79a"/>
    <ds:schemaRef ds:uri="d7bf0660-0b03-4216-b364-8c8e0fe76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E626AE-FB49-42ED-A20F-99E0CCFA1E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767</Words>
  <Characters>4441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Arun Birah</cp:lastModifiedBy>
  <cp:revision>2</cp:revision>
  <cp:lastPrinted>2007-07-12T09:53:00Z</cp:lastPrinted>
  <dcterms:created xsi:type="dcterms:W3CDTF">2024-03-08T13:45:00Z</dcterms:created>
  <dcterms:modified xsi:type="dcterms:W3CDTF">2024-03-08T13:45:00Z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0x010100061656D7C1F0F24B9A4111951FA94E15</vt:lpwstr>
  </property>
</Properties>
</file>